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center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</w:rPr>
        <w:t>SZKOŁA PODSTAWOWA W GRZYWNIE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WYMAGANIA EDUKACYJNE Z FIZYKI 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DLA KLASY VIII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retekstu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Tretekstu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Tretekstu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Tretekstu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tbl>
      <w:tblPr>
        <w:tblStyle w:val="TableNormal1"/>
        <w:tblW w:w="13994" w:type="dxa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1666"/>
        <w:gridCol w:w="8223"/>
        <w:gridCol w:w="854"/>
        <w:gridCol w:w="1045"/>
        <w:gridCol w:w="1100"/>
        <w:gridCol w:w="1105"/>
      </w:tblGrid>
      <w:tr>
        <w:trPr>
          <w:tblHeader w:val="true"/>
          <w:trHeight w:val="314" w:hRule="atLeast"/>
        </w:trPr>
        <w:tc>
          <w:tcPr>
            <w:tcW w:w="1666" w:type="dxa"/>
            <w:vMerge w:val="restart"/>
            <w:tcBorders>
              <w:top w:val="single" w:sz="4" w:space="0" w:color="C4C4C4"/>
              <w:left w:val="single" w:sz="4" w:space="0" w:color="C4C4C4"/>
              <w:bottom w:val="single" w:sz="6" w:space="0" w:color="F7CAAC"/>
              <w:right w:val="single" w:sz="4" w:space="0" w:color="C4C4C4"/>
            </w:tcBorders>
            <w:shd w:color="auto" w:fill="F8E7C0" w:val="clear"/>
            <w:vAlign w:val="center"/>
          </w:tcPr>
          <w:p>
            <w:pPr>
              <w:pStyle w:val="TableParagraph"/>
              <w:ind w:firstLine="44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  <w:lang w:val="en-US"/>
              </w:rPr>
              <w:t>Zagadnienie (temat lekcji)</w:t>
            </w:r>
          </w:p>
        </w:tc>
        <w:tc>
          <w:tcPr>
            <w:tcW w:w="8223" w:type="dxa"/>
            <w:vMerge w:val="restart"/>
            <w:tcBorders>
              <w:top w:val="single" w:sz="4" w:space="0" w:color="C4C4C4"/>
              <w:left w:val="single" w:sz="4" w:space="0" w:color="C4C4C4"/>
              <w:bottom w:val="single" w:sz="6" w:space="0" w:color="F7CAAC"/>
              <w:right w:val="single" w:sz="4" w:space="0" w:color="C4C4C4"/>
            </w:tcBorders>
            <w:shd w:color="auto" w:fill="F8E7C0" w:val="clear"/>
            <w:vAlign w:val="center"/>
          </w:tcPr>
          <w:p>
            <w:pPr>
              <w:pStyle w:val="TableParagraph"/>
              <w:spacing w:before="0" w:after="20"/>
              <w:ind w:left="170" w:hanging="17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  <w:lang w:val="en-US"/>
              </w:rPr>
              <w:t>Cele operacyjne</w:t>
            </w:r>
          </w:p>
          <w:p>
            <w:pPr>
              <w:pStyle w:val="TableParagraph"/>
              <w:spacing w:before="0" w:after="20"/>
              <w:ind w:left="170" w:hanging="170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  <w:lang w:val="en-US"/>
              </w:rPr>
              <w:t>Uczeń:</w:t>
            </w:r>
          </w:p>
        </w:tc>
        <w:tc>
          <w:tcPr>
            <w:tcW w:w="4104" w:type="dxa"/>
            <w:gridSpan w:val="4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8E7C0" w:val="clear"/>
            <w:vAlign w:val="center"/>
          </w:tcPr>
          <w:p>
            <w:pPr>
              <w:pStyle w:val="TableParagraph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  <w:lang w:val="en-US"/>
              </w:rPr>
              <w:t>Wymagania</w:t>
            </w:r>
          </w:p>
        </w:tc>
      </w:tr>
      <w:tr>
        <w:trPr>
          <w:tblHeader w:val="true"/>
          <w:trHeight w:val="267" w:hRule="atLeast"/>
        </w:trPr>
        <w:tc>
          <w:tcPr>
            <w:tcW w:w="1666" w:type="dxa"/>
            <w:vMerge w:val="continue"/>
            <w:tcBorders>
              <w:top w:val="single" w:sz="8" w:space="0" w:color="E8B418"/>
              <w:left w:val="single" w:sz="4" w:space="0" w:color="C4C4C4"/>
              <w:bottom w:val="single" w:sz="6" w:space="0" w:color="F7CAAC"/>
              <w:right w:val="single" w:sz="4" w:space="0" w:color="C4C4C4"/>
            </w:tcBorders>
            <w:shd w:color="auto" w:fill="F8E7C0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vMerge w:val="continue"/>
            <w:tcBorders>
              <w:top w:val="single" w:sz="8" w:space="0" w:color="E8B418"/>
              <w:left w:val="single" w:sz="4" w:space="0" w:color="C4C4C4"/>
              <w:bottom w:val="single" w:sz="6" w:space="0" w:color="F7CAAC"/>
              <w:right w:val="single" w:sz="4" w:space="0" w:color="C4C4C4"/>
            </w:tcBorders>
            <w:shd w:color="auto" w:fill="F8E7C0" w:val="clear"/>
            <w:vAlign w:val="center"/>
          </w:tcPr>
          <w:p>
            <w:pPr>
              <w:pStyle w:val="Normal"/>
              <w:widowControl w:val="false"/>
              <w:spacing w:before="0" w:after="20"/>
              <w:ind w:left="170" w:hanging="17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899" w:type="dxa"/>
            <w:gridSpan w:val="2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8E7C0" w:val="clear"/>
            <w:vAlign w:val="center"/>
          </w:tcPr>
          <w:p>
            <w:pPr>
              <w:pStyle w:val="TableParagraph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  <w:lang w:val="en-US"/>
              </w:rPr>
              <w:t>podstawowe</w:t>
            </w:r>
          </w:p>
        </w:tc>
        <w:tc>
          <w:tcPr>
            <w:tcW w:w="2205" w:type="dxa"/>
            <w:gridSpan w:val="2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8E7C0" w:val="clear"/>
            <w:vAlign w:val="center"/>
          </w:tcPr>
          <w:p>
            <w:pPr>
              <w:pStyle w:val="TableParagraph"/>
              <w:jc w:val="center"/>
              <w:rPr>
                <w:b/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  <w:lang w:val="en-US"/>
              </w:rPr>
              <w:t>ponadpodstawowe</w:t>
            </w:r>
          </w:p>
        </w:tc>
      </w:tr>
      <w:tr>
        <w:trPr>
          <w:tblHeader w:val="true"/>
          <w:trHeight w:val="267" w:hRule="atLeast"/>
        </w:trPr>
        <w:tc>
          <w:tcPr>
            <w:tcW w:w="1666" w:type="dxa"/>
            <w:vMerge w:val="continue"/>
            <w:tcBorders>
              <w:top w:val="single" w:sz="8" w:space="0" w:color="E8B418"/>
              <w:left w:val="single" w:sz="4" w:space="0" w:color="C4C4C4"/>
              <w:bottom w:val="single" w:sz="6" w:space="0" w:color="F7CAAC"/>
              <w:right w:val="single" w:sz="4" w:space="0" w:color="C4C4C4"/>
            </w:tcBorders>
            <w:shd w:color="auto" w:fill="F8E7C0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vMerge w:val="continue"/>
            <w:tcBorders>
              <w:top w:val="single" w:sz="8" w:space="0" w:color="E8B418"/>
              <w:left w:val="single" w:sz="4" w:space="0" w:color="C4C4C4"/>
              <w:bottom w:val="single" w:sz="6" w:space="0" w:color="F7CAAC"/>
              <w:right w:val="single" w:sz="4" w:space="0" w:color="C4C4C4"/>
            </w:tcBorders>
            <w:shd w:color="auto" w:fill="F8E7C0" w:val="clear"/>
            <w:vAlign w:val="center"/>
          </w:tcPr>
          <w:p>
            <w:pPr>
              <w:pStyle w:val="Normal"/>
              <w:widowControl w:val="false"/>
              <w:spacing w:before="0" w:after="20"/>
              <w:ind w:left="170" w:hanging="17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54" w:type="dxa"/>
            <w:tcBorders>
              <w:top w:val="single" w:sz="4" w:space="0" w:color="C4C4C4"/>
              <w:left w:val="single" w:sz="4" w:space="0" w:color="C4C4C4"/>
              <w:bottom w:val="single" w:sz="6" w:space="0" w:color="F7CAAC"/>
              <w:right w:val="single" w:sz="4" w:space="0" w:color="C4C4C4"/>
            </w:tcBorders>
            <w:shd w:color="auto" w:fill="F8E7C0" w:val="clear"/>
            <w:vAlign w:val="center"/>
          </w:tcPr>
          <w:p>
            <w:pPr>
              <w:pStyle w:val="TableParagraph"/>
              <w:jc w:val="center"/>
              <w:rPr>
                <w:b/>
                <w:b/>
                <w:w w:val="99"/>
                <w:sz w:val="16"/>
                <w:szCs w:val="16"/>
              </w:rPr>
            </w:pPr>
            <w:r>
              <w:rPr>
                <w:b/>
                <w:color w:val="9B2424"/>
                <w:w w:val="99"/>
                <w:sz w:val="16"/>
                <w:szCs w:val="16"/>
                <w:lang w:val="en-US"/>
              </w:rPr>
              <w:t>konieczne</w:t>
            </w:r>
          </w:p>
        </w:tc>
        <w:tc>
          <w:tcPr>
            <w:tcW w:w="1045" w:type="dxa"/>
            <w:tcBorders>
              <w:top w:val="single" w:sz="4" w:space="0" w:color="C4C4C4"/>
              <w:left w:val="single" w:sz="4" w:space="0" w:color="C4C4C4"/>
              <w:bottom w:val="single" w:sz="6" w:space="0" w:color="F7CAAC"/>
              <w:right w:val="single" w:sz="4" w:space="0" w:color="C4C4C4"/>
            </w:tcBorders>
            <w:shd w:color="auto" w:fill="F8E7C0" w:val="clear"/>
            <w:vAlign w:val="center"/>
          </w:tcPr>
          <w:p>
            <w:pPr>
              <w:pStyle w:val="TableParagraph"/>
              <w:jc w:val="center"/>
              <w:rPr>
                <w:b/>
                <w:b/>
                <w:w w:val="99"/>
                <w:sz w:val="16"/>
                <w:szCs w:val="16"/>
              </w:rPr>
            </w:pPr>
            <w:r>
              <w:rPr>
                <w:b/>
                <w:color w:val="9B2424"/>
                <w:w w:val="99"/>
                <w:sz w:val="16"/>
                <w:szCs w:val="16"/>
                <w:lang w:val="en-US"/>
              </w:rPr>
              <w:t>podstawowe</w:t>
            </w:r>
          </w:p>
        </w:tc>
        <w:tc>
          <w:tcPr>
            <w:tcW w:w="1100" w:type="dxa"/>
            <w:tcBorders>
              <w:top w:val="single" w:sz="4" w:space="0" w:color="C4C4C4"/>
              <w:left w:val="single" w:sz="4" w:space="0" w:color="C4C4C4"/>
              <w:bottom w:val="single" w:sz="6" w:space="0" w:color="F7CAAC"/>
              <w:right w:val="single" w:sz="4" w:space="0" w:color="C4C4C4"/>
            </w:tcBorders>
            <w:shd w:color="auto" w:fill="F8E7C0" w:val="clear"/>
            <w:vAlign w:val="center"/>
          </w:tcPr>
          <w:p>
            <w:pPr>
              <w:pStyle w:val="TableParagraph"/>
              <w:jc w:val="center"/>
              <w:rPr>
                <w:b/>
                <w:b/>
                <w:w w:val="99"/>
                <w:sz w:val="16"/>
                <w:szCs w:val="16"/>
              </w:rPr>
            </w:pPr>
            <w:r>
              <w:rPr>
                <w:b/>
                <w:color w:val="9B2424"/>
                <w:w w:val="99"/>
                <w:sz w:val="16"/>
                <w:szCs w:val="16"/>
                <w:lang w:val="en-US"/>
              </w:rPr>
              <w:t>rozszerzające</w:t>
            </w:r>
          </w:p>
        </w:tc>
        <w:tc>
          <w:tcPr>
            <w:tcW w:w="1105" w:type="dxa"/>
            <w:tcBorders>
              <w:top w:val="single" w:sz="4" w:space="0" w:color="C4C4C4"/>
              <w:left w:val="single" w:sz="4" w:space="0" w:color="C4C4C4"/>
              <w:bottom w:val="single" w:sz="6" w:space="0" w:color="F7CAAC"/>
              <w:right w:val="single" w:sz="4" w:space="0" w:color="C4C4C4"/>
            </w:tcBorders>
            <w:shd w:color="auto" w:fill="F8E7C0" w:val="clear"/>
            <w:vAlign w:val="center"/>
          </w:tcPr>
          <w:p>
            <w:pPr>
              <w:pStyle w:val="TableParagraph"/>
              <w:jc w:val="center"/>
              <w:rPr>
                <w:b/>
                <w:b/>
                <w:w w:val="99"/>
                <w:sz w:val="16"/>
                <w:szCs w:val="16"/>
              </w:rPr>
            </w:pPr>
            <w:r>
              <w:rPr>
                <w:b/>
                <w:color w:val="9B2424"/>
                <w:w w:val="99"/>
                <w:sz w:val="16"/>
                <w:szCs w:val="16"/>
                <w:lang w:val="en-US"/>
              </w:rPr>
              <w:t>dopełniające</w:t>
            </w:r>
          </w:p>
        </w:tc>
      </w:tr>
      <w:tr>
        <w:trPr>
          <w:trHeight w:val="213" w:hRule="atLeast"/>
        </w:trPr>
        <w:tc>
          <w:tcPr>
            <w:tcW w:w="13993" w:type="dxa"/>
            <w:gridSpan w:val="6"/>
            <w:tcBorders>
              <w:top w:val="single" w:sz="8" w:space="0" w:color="E8B418"/>
              <w:left w:val="single" w:sz="4" w:space="0" w:color="C4C4C4"/>
              <w:bottom w:val="single" w:sz="4" w:space="0" w:color="C9C9C9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spacing w:before="40" w:after="40"/>
              <w:ind w:left="170" w:hanging="170"/>
              <w:jc w:val="center"/>
              <w:rPr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 xml:space="preserve">I. ELEKTROSTATYKA </w:t>
            </w:r>
          </w:p>
        </w:tc>
      </w:tr>
      <w:tr>
        <w:trPr>
          <w:trHeight w:val="215" w:hRule="atLeast"/>
        </w:trPr>
        <w:tc>
          <w:tcPr>
            <w:tcW w:w="1666" w:type="dxa"/>
            <w:vMerge w:val="restart"/>
            <w:tcBorders>
              <w:top w:val="single" w:sz="4" w:space="0" w:color="C9C9C9"/>
              <w:left w:val="single" w:sz="4" w:space="0" w:color="C9C9C9"/>
              <w:bottom w:val="single" w:sz="4" w:space="0" w:color="C4C4C4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 xml:space="preserve">Elektryzowanie ciał </w:t>
            </w:r>
          </w:p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30"/>
              </w:numPr>
              <w:tabs>
                <w:tab w:val="clear" w:pos="708"/>
                <w:tab w:val="left" w:pos="225" w:leader="none"/>
              </w:tabs>
              <w:spacing w:lineRule="exact" w:line="198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informuje, czym zajmuje się elektrostatyka; wskazuje przykłady elektryzowania ciał w otoczeniu</w:t>
            </w:r>
          </w:p>
        </w:tc>
        <w:tc>
          <w:tcPr>
            <w:tcW w:w="85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C9C9C9"/>
              <w:bottom w:val="single" w:sz="4" w:space="0" w:color="C4C4C4"/>
              <w:right w:val="single" w:sz="4" w:space="0" w:color="C9C9C9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29"/>
              </w:numPr>
              <w:tabs>
                <w:tab w:val="clear" w:pos="708"/>
                <w:tab w:val="left" w:pos="225" w:leader="none"/>
              </w:tabs>
              <w:spacing w:lineRule="exact" w:line="198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doświadczenia ilustrujące elektryzowanie ciał przez pocieranie oraz oddziały-wanie ciał naelektryzowanych, korzystając z ich opisów i przestrzegając zasad bezpieczeństwa; formułuje wnioski na podstawie wyników doświadczeń</w:t>
            </w:r>
          </w:p>
        </w:tc>
        <w:tc>
          <w:tcPr>
            <w:tcW w:w="85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C9C9C9"/>
              <w:bottom w:val="single" w:sz="4" w:space="0" w:color="C4C4C4"/>
              <w:right w:val="single" w:sz="4" w:space="0" w:color="C9C9C9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28"/>
              </w:numPr>
              <w:tabs>
                <w:tab w:val="clear" w:pos="708"/>
                <w:tab w:val="left" w:pos="225" w:leader="none"/>
              </w:tabs>
              <w:spacing w:lineRule="exact" w:line="198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przebieg przeprowadzonego doświadczenia; wyróżnia kluczowe kroki i sposób postępo-wania, wskazuje rolę użytych przyrządów</w:t>
            </w:r>
          </w:p>
        </w:tc>
        <w:tc>
          <w:tcPr>
            <w:tcW w:w="85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C9C9C9"/>
              <w:bottom w:val="single" w:sz="4" w:space="0" w:color="C4C4C4"/>
              <w:right w:val="single" w:sz="4" w:space="0" w:color="C9C9C9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27"/>
              </w:numPr>
              <w:tabs>
                <w:tab w:val="clear" w:pos="708"/>
                <w:tab w:val="left" w:pos="225" w:leader="none"/>
              </w:tabs>
              <w:spacing w:lineRule="exact" w:line="198" w:before="0" w:after="20"/>
              <w:ind w:left="170" w:hanging="170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 xml:space="preserve">doświadczalnie demonstruje zjawisko elektryzowania przez potarcie </w:t>
            </w:r>
            <w:r>
              <w:rPr>
                <w:sz w:val="17"/>
                <w:szCs w:val="17"/>
                <w:lang w:val="pl-PL"/>
              </w:rPr>
              <w:t>oraz</w:t>
            </w:r>
            <w:r>
              <w:rPr>
                <w:b/>
                <w:sz w:val="17"/>
                <w:szCs w:val="17"/>
                <w:lang w:val="pl-PL"/>
              </w:rPr>
              <w:t xml:space="preserve"> wzajemne oddziały-wanie ciał naelektryzowanych</w:t>
            </w:r>
          </w:p>
        </w:tc>
        <w:tc>
          <w:tcPr>
            <w:tcW w:w="85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C9C9C9"/>
              <w:bottom w:val="single" w:sz="4" w:space="0" w:color="C4C4C4"/>
              <w:right w:val="single" w:sz="4" w:space="0" w:color="C9C9C9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26"/>
              </w:numPr>
              <w:tabs>
                <w:tab w:val="clear" w:pos="708"/>
                <w:tab w:val="left" w:pos="225" w:leader="none"/>
              </w:tabs>
              <w:spacing w:lineRule="exact" w:line="198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 i ujemne)</w:t>
            </w:r>
          </w:p>
        </w:tc>
        <w:tc>
          <w:tcPr>
            <w:tcW w:w="85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C9C9C9"/>
              <w:bottom w:val="single" w:sz="4" w:space="0" w:color="C4C4C4"/>
              <w:right w:val="single" w:sz="4" w:space="0" w:color="C9C9C9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25"/>
              </w:numPr>
              <w:tabs>
                <w:tab w:val="clear" w:pos="708"/>
                <w:tab w:val="left" w:pos="225" w:leader="none"/>
              </w:tabs>
              <w:spacing w:lineRule="exact" w:line="198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sposób elektryzowania ciał przez potarcie; informuje, że to zjawisko polega na gromadze-niu przez ciało ładunku elektrycznego</w:t>
            </w:r>
          </w:p>
        </w:tc>
        <w:tc>
          <w:tcPr>
            <w:tcW w:w="85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C9C9C9"/>
              <w:bottom w:val="single" w:sz="4" w:space="0" w:color="C4C4C4"/>
              <w:right w:val="single" w:sz="4" w:space="0" w:color="C9C9C9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24"/>
              </w:numPr>
              <w:tabs>
                <w:tab w:val="clear" w:pos="708"/>
                <w:tab w:val="left" w:pos="225" w:leader="none"/>
              </w:tabs>
              <w:spacing w:lineRule="exact" w:line="198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jakościowo oddziaływanie ładunków jednoimiennych i różnoimiennych; podaje przykła-dy oddziaływań elektrostatycznych w otoczeniu i ich zastosowań (inne niż poznane na lekcji)</w:t>
            </w:r>
          </w:p>
        </w:tc>
        <w:tc>
          <w:tcPr>
            <w:tcW w:w="85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(X)</w:t>
            </w:r>
          </w:p>
        </w:tc>
        <w:tc>
          <w:tcPr>
            <w:tcW w:w="110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C9C9C9"/>
              <w:bottom w:val="single" w:sz="4" w:space="0" w:color="C4C4C4"/>
              <w:right w:val="single" w:sz="4" w:space="0" w:color="C9C9C9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23"/>
              </w:numPr>
              <w:tabs>
                <w:tab w:val="clear" w:pos="708"/>
                <w:tab w:val="left" w:pos="225" w:leader="none"/>
              </w:tabs>
              <w:spacing w:lineRule="exact" w:line="198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projektuje i przeprowadza doświadczenie ilustrujące właściwości ciał naelektryzowanych; krytycznie ocenia jego wyniki; wskazuje czynniki istotne i nieistotne dla wyniku doświadczenia; formułuje wnioski</w:t>
            </w:r>
          </w:p>
        </w:tc>
        <w:tc>
          <w:tcPr>
            <w:tcW w:w="85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C9C9C9"/>
              <w:bottom w:val="single" w:sz="4" w:space="0" w:color="C4C4C4"/>
              <w:right w:val="single" w:sz="4" w:space="0" w:color="C9C9C9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22"/>
              </w:numPr>
              <w:tabs>
                <w:tab w:val="clear" w:pos="708"/>
                <w:tab w:val="left" w:pos="225" w:leader="none"/>
              </w:tabs>
              <w:spacing w:lineRule="exact" w:line="198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budowę i zastosowanie maszyny elektrostatycznej</w:t>
            </w:r>
          </w:p>
        </w:tc>
        <w:tc>
          <w:tcPr>
            <w:tcW w:w="85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C9C9C9"/>
              <w:bottom w:val="single" w:sz="4" w:space="0" w:color="C4C4C4"/>
              <w:right w:val="single" w:sz="4" w:space="0" w:color="C9C9C9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21"/>
              </w:numPr>
              <w:tabs>
                <w:tab w:val="clear" w:pos="708"/>
                <w:tab w:val="left" w:pos="225" w:leader="none"/>
              </w:tabs>
              <w:spacing w:lineRule="exact" w:line="198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 i rysunków informacje kluczowe</w:t>
            </w:r>
          </w:p>
        </w:tc>
        <w:tc>
          <w:tcPr>
            <w:tcW w:w="85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C9C9C9"/>
              <w:bottom w:val="single" w:sz="4" w:space="0" w:color="C4C4C4"/>
              <w:right w:val="single" w:sz="4" w:space="0" w:color="C9C9C9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20"/>
              </w:numPr>
              <w:tabs>
                <w:tab w:val="clear" w:pos="708"/>
                <w:tab w:val="left" w:pos="225" w:leader="none"/>
              </w:tabs>
              <w:spacing w:lineRule="exact" w:line="198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dotyczące elektryzowania ciał i wzajemnego oddziaływania ciał naelektryzowanych</w:t>
            </w:r>
          </w:p>
        </w:tc>
        <w:tc>
          <w:tcPr>
            <w:tcW w:w="85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19"/>
              </w:numPr>
              <w:tabs>
                <w:tab w:val="clear" w:pos="708"/>
                <w:tab w:val="left" w:pos="224" w:leader="none"/>
              </w:tabs>
              <w:spacing w:lineRule="exact" w:line="198" w:before="0" w:after="48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zadania bardziej złożone, ale typowe, dotyczące elektryzowania ciał i wzajemnego oddziaływania ciał naelektryzowanych; porównuje oddziaływania elektrostatyczne i grawitacyjne</w:t>
            </w:r>
          </w:p>
        </w:tc>
        <w:tc>
          <w:tcPr>
            <w:tcW w:w="85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spacing w:before="0" w:after="48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spacing w:before="0" w:after="48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spacing w:before="0" w:after="48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spacing w:before="0" w:after="48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18"/>
              </w:numPr>
              <w:tabs>
                <w:tab w:val="clear" w:pos="708"/>
                <w:tab w:val="left" w:pos="224" w:leader="none"/>
              </w:tabs>
              <w:spacing w:lineRule="exact" w:line="21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popularnonau-kowych) dotyczących elektryzowania ciał i wzajemnego oddziaływania ciał naelektryzowanych</w:t>
            </w:r>
          </w:p>
        </w:tc>
        <w:tc>
          <w:tcPr>
            <w:tcW w:w="85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restart"/>
            <w:tcBorders>
              <w:top w:val="single" w:sz="4" w:space="0" w:color="C9C9C9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 xml:space="preserve">Budowa atomu. Jednostka ładunku elektrycznego </w:t>
            </w:r>
          </w:p>
          <w:p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4" w:space="0" w:color="C9C9C9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17"/>
              </w:numPr>
              <w:tabs>
                <w:tab w:val="clear" w:pos="708"/>
                <w:tab w:val="left" w:pos="224" w:leader="none"/>
              </w:tabs>
              <w:spacing w:lineRule="exact" w:line="21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wyjaśnia, z czego składa się atom; przedstawia model budowy atomu na schematycznym rysunku</w:t>
            </w:r>
          </w:p>
        </w:tc>
        <w:tc>
          <w:tcPr>
            <w:tcW w:w="854" w:type="dxa"/>
            <w:tcBorders>
              <w:top w:val="single" w:sz="4" w:space="0" w:color="C9C9C9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9C9C9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9C9C9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9C9C9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316"/>
              </w:numPr>
              <w:tabs>
                <w:tab w:val="clear" w:pos="708"/>
                <w:tab w:val="left" w:pos="224" w:leader="none"/>
              </w:tabs>
              <w:spacing w:lineRule="exact" w:line="21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posługuje się pojęciem ładunku elementarnego; podaje jego symbol oraz wartość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e ≈ 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t>1,6 · 10</w:t>
            </w:r>
            <w:r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15"/>
              </w:numPr>
              <w:tabs>
                <w:tab w:val="clear" w:pos="708"/>
                <w:tab w:val="left" w:pos="225" w:leader="none"/>
              </w:tabs>
              <w:spacing w:lineRule="exact" w:line="21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14"/>
              </w:numPr>
              <w:tabs>
                <w:tab w:val="clear" w:pos="708"/>
                <w:tab w:val="left" w:pos="225" w:leader="none"/>
              </w:tabs>
              <w:spacing w:lineRule="exact" w:line="21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wykazuje, że 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t>6,24 · 10</w:t>
            </w:r>
            <w:r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>
              <w:rPr>
                <w:position w:val="5"/>
                <w:sz w:val="12"/>
                <w:szCs w:val="12"/>
                <w:lang w:val="pl-PL"/>
              </w:rPr>
              <w:t xml:space="preserve">  </w:t>
            </w:r>
            <w:r>
              <w:rPr>
                <w:sz w:val="17"/>
                <w:szCs w:val="17"/>
                <w:lang w:val="pl-PL"/>
              </w:rPr>
              <w:t xml:space="preserve">ładunków elemen-tarnych: 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>
              <w:rPr>
                <w:rFonts w:ascii="Cambria Math" w:hAnsi="Cambria Math"/>
                <w:i/>
                <w:sz w:val="17"/>
                <w:szCs w:val="17"/>
                <w:lang w:val="pl-PL"/>
              </w:rPr>
              <w:t>e</w:t>
            </w:r>
            <w:r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13"/>
              </w:numPr>
              <w:tabs>
                <w:tab w:val="clear" w:pos="708"/>
                <w:tab w:val="left" w:pos="225" w:leader="none"/>
              </w:tabs>
              <w:spacing w:lineRule="exact" w:line="21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na przykładzie sposób elektryzowania ciał przez potarcie; informuje, że zjawisko to polega na przemieszczaniu elektronów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12"/>
              </w:numPr>
              <w:tabs>
                <w:tab w:val="clear" w:pos="708"/>
                <w:tab w:val="left" w:pos="225" w:leader="none"/>
              </w:tabs>
              <w:spacing w:lineRule="exact" w:line="21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wyjaśnia na przykładach, kiedy ciało jest naładowane dodatnio, a kiedy jest naładowane ujemnie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11"/>
              </w:numPr>
              <w:tabs>
                <w:tab w:val="clear" w:pos="708"/>
                <w:tab w:val="left" w:pos="225" w:leader="none"/>
              </w:tabs>
              <w:spacing w:lineRule="exact" w:line="21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pojęciem jonu; wyjaśnia, kiedy powstaje jon dodatni, a kiedy ujemny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10"/>
              </w:numPr>
              <w:tabs>
                <w:tab w:val="clear" w:pos="708"/>
                <w:tab w:val="left" w:pos="225" w:leader="none"/>
              </w:tabs>
              <w:spacing w:lineRule="exact" w:line="210" w:before="0" w:after="20"/>
              <w:ind w:left="170" w:hanging="170"/>
              <w:rPr>
                <w:sz w:val="17"/>
                <w:szCs w:val="17"/>
              </w:rPr>
            </w:pPr>
            <w:r>
              <w:rPr>
                <w:position w:val="5"/>
                <w:sz w:val="12"/>
                <w:szCs w:val="17"/>
                <w:lang w:val="en-US"/>
              </w:rPr>
              <w:t>R</w:t>
            </w:r>
            <w:r>
              <w:rPr>
                <w:sz w:val="17"/>
                <w:szCs w:val="17"/>
                <w:lang w:val="en-US"/>
              </w:rPr>
              <w:t>analizuje tzw. szereg tryboelektryczny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09"/>
              </w:numPr>
              <w:tabs>
                <w:tab w:val="clear" w:pos="708"/>
                <w:tab w:val="left" w:pos="225" w:leader="none"/>
              </w:tabs>
              <w:spacing w:lineRule="exact" w:line="21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 i rysunków schematycznych lub blokowych informacje kluczowe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08"/>
              </w:numPr>
              <w:tabs>
                <w:tab w:val="clear" w:pos="708"/>
                <w:tab w:val="left" w:pos="225" w:leader="none"/>
              </w:tabs>
              <w:spacing w:lineRule="exact" w:line="21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(i bardziej złożone) zadania dotyczące elektryzowania ciał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(X)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4" w:space="0" w:color="BFBFBF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07"/>
              </w:numPr>
              <w:tabs>
                <w:tab w:val="clear" w:pos="708"/>
                <w:tab w:val="left" w:pos="225" w:leader="none"/>
              </w:tabs>
              <w:spacing w:lineRule="exact" w:line="21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zadania z wykorzystaniem zależności, że każdy ładunek elektryczny jest wielokrotnością ładunku elementarnego; przelicza podwielokrotności, przeprowadza obliczenia i zapisuje wynik zgodnie z zasadami zaokrąglania, z zachowaniem liczby cyfr znaczących wynikającej z danych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Przewodniki i izolatory</w:t>
            </w:r>
          </w:p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06"/>
              </w:numPr>
              <w:tabs>
                <w:tab w:val="clear" w:pos="708"/>
                <w:tab w:val="left" w:pos="225" w:leader="none"/>
              </w:tabs>
              <w:spacing w:lineRule="exact" w:line="21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pojęciami: przewodnika jako substancji, w której łatwo mogą się przemieszczać ładunki elektryczne, i izolatora jako substancji, w której ładunki elektryczne nie mogą się przemieszczać</w:t>
            </w:r>
          </w:p>
        </w:tc>
        <w:tc>
          <w:tcPr>
            <w:tcW w:w="854" w:type="dxa"/>
            <w:tcBorders>
              <w:top w:val="single" w:sz="4" w:space="0" w:color="C4C4C4"/>
              <w:left w:val="single" w:sz="4" w:space="0" w:color="BFBFBF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BFBFBF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05"/>
              </w:numPr>
              <w:tabs>
                <w:tab w:val="clear" w:pos="708"/>
                <w:tab w:val="left" w:pos="225" w:leader="none"/>
              </w:tabs>
              <w:spacing w:lineRule="exact" w:line="21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04"/>
              </w:numPr>
              <w:tabs>
                <w:tab w:val="clear" w:pos="708"/>
                <w:tab w:val="left" w:pos="225" w:leader="none"/>
              </w:tabs>
              <w:spacing w:lineRule="exact" w:line="210" w:before="0" w:after="20"/>
              <w:ind w:left="170" w:hanging="170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03"/>
              </w:numPr>
              <w:tabs>
                <w:tab w:val="clear" w:pos="708"/>
                <w:tab w:val="left" w:pos="225" w:leader="none"/>
              </w:tabs>
              <w:spacing w:lineRule="exact" w:line="21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pojęciem elektronów swobodnych; wykazuje, że w metalach znajdują się elektrony swobodne, a w izolatorach elektrony są związane z atomami; na tej podstawie uzasadnia podział substancji na przewodniki i izolatory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restart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C9C9C9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02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wskazuje, że dobre przewodniki elektryczności są również dobrymi przewodnikami ciepła; wymienia przykłady zastosowań przewodników i izolatorów w otoczeniu</w:t>
            </w:r>
          </w:p>
        </w:tc>
        <w:tc>
          <w:tcPr>
            <w:tcW w:w="854" w:type="dxa"/>
            <w:tcBorders>
              <w:top w:val="single" w:sz="4" w:space="0" w:color="C9C9C9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9C9C9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9C9C9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9C9C9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01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doświadczenia (wykazujące, że przewodnik można naelektryzować), korzystając z ich opisów i przestrzegając zasad bezpieczeństwa; formułuje wniosek, że przewodnik można naelektryzować wtedy, gdy odizoluje się go od ziemi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00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przebieg przeprowadzonego doświadczenia; wyróżnia kluczowe kroki i sposób postępo-wania, wskazuje rolę użytych przyrządów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99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wyjaśnia wyniki przeprowadzonych doświadczeń związanych z elektryzowaniem przewodników; uzasadnia na przykładach, że przewodnik można naelektryzować wówczas, gdy odizoluje się go od ziemi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98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(typowe) zadania dotyczące właściwości przewodników i izolatorów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97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zadania bardziej złożone, ale typowe, dotyczące elektryzowania ciał i wzajemnego oddziaływania ciał naelektryzowanych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Elektryzowanie przez dotyk</w:t>
            </w:r>
          </w:p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</w:t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96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95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stosuje zasadę zachowania ładunku elektrycznego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94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doświadczenie (</w:t>
            </w:r>
            <w:r>
              <w:rPr>
                <w:b/>
                <w:sz w:val="17"/>
                <w:szCs w:val="17"/>
                <w:lang w:val="pl-PL"/>
              </w:rPr>
              <w:t>demonstruje zjawisko elektryzowania przez dotyk</w:t>
            </w:r>
            <w:r>
              <w:rPr>
                <w:sz w:val="17"/>
                <w:szCs w:val="17"/>
                <w:lang w:val="pl-PL"/>
              </w:rPr>
              <w:t>), korzystając z jego opisu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93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sposób elektryzowania ciał przez dotyk; informuje, że zjawisko to polega na przemieszcza-niu elektronów z ciała naelektryzowanego do ciała nienaelektryzowanego lub w drugą stronę, w efekcie oba ciała są naelektryzowane ładunkami tego samego znaku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92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budowę i zasadę działania elektroskopu; posługuje się elektroskopem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91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wyjaśnia, na czym polega uziemienie ciała naelektryzowanego i zobojętnienie zgromadzonego na nim ładunku elektrycznego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90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działanie i zastosowanie piorunochronu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89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dotyczące elektryzowania ciał przez dotyk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88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zadania bardziej złożone z wykorzystaniem zasady zachowania ładunku elektrycznego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6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 xml:space="preserve">Elektryzowanie przez indukcję </w:t>
            </w:r>
          </w:p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87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doświadczenia (elektryzowanie ciał przez zbliżenie ciała naelektryzowanego), korzystając z ich opisu; formułuje wnioski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86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przemieszczanie się ładunków w przewodnikach pod wpływem oddziaływania ładunku zewnętrznego (indukcja elektrostatyczna)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C9C9C9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85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podaje przykłady skutków i wykorzystania indukcji elektrostatycznej</w:t>
            </w:r>
          </w:p>
        </w:tc>
        <w:tc>
          <w:tcPr>
            <w:tcW w:w="854" w:type="dxa"/>
            <w:tcBorders>
              <w:top w:val="single" w:sz="4" w:space="0" w:color="C9C9C9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9C9C9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9C9C9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9C9C9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84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83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projektuje i przeprowadza doświadczenie ilustrujące skutki indukcji elektrostatycznej; krytycznie ocenia jego wyniki; wskazuje czynniki istotne i nieistotne dla wyniku doświadczenia; formułuje wnioski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82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dotyczące elektryzowania ciał przez indukcję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81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zadania bardziej złożone dotyczące zjawiska indukcji elektrostatycznej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pacing w:val="-1"/>
                <w:sz w:val="17"/>
                <w:szCs w:val="17"/>
                <w:lang w:val="pl-PL"/>
              </w:rPr>
              <w:t xml:space="preserve">Podsumowanie </w:t>
            </w:r>
            <w:r>
              <w:rPr>
                <w:b/>
                <w:sz w:val="17"/>
                <w:szCs w:val="17"/>
                <w:lang w:val="pl-PL"/>
              </w:rPr>
              <w:t xml:space="preserve">wiadomości dotyczących elektrostatyki </w:t>
            </w:r>
          </w:p>
          <w:p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80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 i rysunków informacje kluczowe dla opisywanego zjawiska lub problemu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79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proste zadania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78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77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76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posługuje się informacjami pochodzącymi z analizy tekstu: </w:t>
            </w:r>
            <w:r>
              <w:rPr>
                <w:i/>
                <w:sz w:val="17"/>
                <w:szCs w:val="17"/>
                <w:lang w:val="pl-PL"/>
              </w:rPr>
              <w:t xml:space="preserve">Gdzie wykorzystuje się elektryzowanie ciał </w:t>
            </w:r>
            <w:r>
              <w:rPr>
                <w:sz w:val="17"/>
                <w:szCs w:val="17"/>
                <w:lang w:val="pl-PL"/>
              </w:rPr>
              <w:t xml:space="preserve">(lub innego związanego z treściami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  <w:r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3993" w:type="dxa"/>
            <w:gridSpan w:val="6"/>
            <w:tcBorders>
              <w:left w:val="single" w:sz="6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 xml:space="preserve">II. PRĄD ELEKTRYCZNY 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 xml:space="preserve">Prąd elektryczny. Napięcie elektry-czne i natężenie prądu </w:t>
            </w:r>
          </w:p>
          <w:p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75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doświadczenia wykazujące przepływ ładunków przez przewodniki, korzystając z ich opisów; wskazuje rolę użytych przyrządów oraz czynniki istotne i nieistotne dla wyników doświadczeń; formułuje wnioski na podstawie tych wyników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74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porównuje oddziaływania elektrostatyczne i grawitacyjne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73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potrze-bnej do przeniesienia jednostkowego ładunku w obwodzie; stosuje jednostkę napięcia (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72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71"/>
              </w:numPr>
              <w:tabs>
                <w:tab w:val="clear" w:pos="708"/>
                <w:tab w:val="left" w:pos="224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70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z w:val="17"/>
                <w:szCs w:val="17"/>
                <w:lang w:val="pl-PL"/>
              </w:rPr>
              <w:t>porównuje ruch swobodnych elektronów w przewodniku z ruchem elektronów w sytuacji, gdy do końców przewodnika podłączymy źródło napięcia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69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68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67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F7CAAC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66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dotyczące przepływu prądu elektrycznego; wyodrębnia z tekstów i rysunków informacje kluczowe</w:t>
            </w:r>
          </w:p>
        </w:tc>
        <w:tc>
          <w:tcPr>
            <w:tcW w:w="854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F7CAAC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65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zadania z wykorzystaniem związku między natężeniem prądu a ładunkiem i czasem jego przepływu przez poprzeczny przekrój przewodnika; przelicza wielokrotności i podwielokro-tności oraz jednostki czasu; przeprowadza obliczenia i zapisuje wynik zgodnie z zasadami zaokrąglania, z zachowaniem liczby cyfr znaczących wynikającej z danych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64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zadania bardziej złożone, ale typowe, dotyczące przepływu prądu elektrycznego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63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przepływu prądu elektrycznego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 xml:space="preserve">Pomiar natężenia prądu i napięcia elektrycznego </w:t>
            </w:r>
          </w:p>
          <w:p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62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61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wymienia elementy prostego obwodu elektrycznego: źródło energii elektrycznej, odbiornik (np. żarówka), przewody, wyłącznik, mierniki (amperomierz, woltomierz); rozróżnia symbole graficzne tych elementów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60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wymienia przyrządy służące do pomiaru napięcia elektrycznego i natężenia prądu; wyjaśnia, jak włącza się je do obwodu elektrycznego (amperomierz szeregowo, woltomierz równolegle)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59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58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57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przeprowadza doświadczenia: </w:t>
            </w:r>
            <w:r>
              <w:rPr>
                <w:b/>
                <w:sz w:val="17"/>
                <w:szCs w:val="17"/>
                <w:lang w:val="pl-PL"/>
              </w:rPr>
              <w:t xml:space="preserve">łączy według podanego schematu obwód elektryczny składający się ze źródła </w:t>
            </w:r>
            <w:r>
              <w:rPr>
                <w:sz w:val="17"/>
                <w:szCs w:val="17"/>
                <w:lang w:val="pl-PL"/>
              </w:rPr>
              <w:t xml:space="preserve">(baterii), </w:t>
            </w:r>
            <w:r>
              <w:rPr>
                <w:b/>
                <w:sz w:val="17"/>
                <w:szCs w:val="17"/>
                <w:lang w:val="pl-PL"/>
              </w:rPr>
              <w:t xml:space="preserve">odbiornika </w:t>
            </w:r>
            <w:r>
              <w:rPr>
                <w:sz w:val="17"/>
                <w:szCs w:val="17"/>
                <w:lang w:val="pl-PL"/>
              </w:rPr>
              <w:t xml:space="preserve">(żarówki), </w:t>
            </w:r>
            <w:r>
              <w:rPr>
                <w:b/>
                <w:sz w:val="17"/>
                <w:szCs w:val="17"/>
                <w:lang w:val="pl-PL"/>
              </w:rPr>
              <w:t>amperomierza i woltomierza</w:t>
            </w:r>
            <w:r>
              <w:rPr>
                <w:sz w:val="17"/>
                <w:szCs w:val="17"/>
                <w:lang w:val="pl-PL"/>
              </w:rPr>
              <w:t xml:space="preserve">, korzystając z ich opisów; </w:t>
            </w:r>
            <w:r>
              <w:rPr>
                <w:b/>
                <w:sz w:val="17"/>
                <w:szCs w:val="17"/>
                <w:lang w:val="pl-PL"/>
              </w:rPr>
              <w:t>odczytuje wskazania mierników</w:t>
            </w:r>
            <w:r>
              <w:rPr>
                <w:sz w:val="17"/>
                <w:szCs w:val="17"/>
                <w:lang w:val="pl-PL"/>
              </w:rPr>
              <w:t>; formułuje wnioski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56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wyłączników; posługuje się symbolami graficznymi tych elementów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55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 lub ilustracji (w tym schematów obwodów elektrycznych) informacje kluczowe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54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dotyczące obwodów elektrycznych oraz pomiaru napięcia elektrycznego i natężenia prądu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53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zadania bardziej złożone dotyczące obwodów elektrycznych oraz pomiaru napięcia elektrycznego i natężenia prądu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52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popularno-naukowych) dotyczących obwodów elektrycznych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BFBFBF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 xml:space="preserve">Opór elektryczny </w:t>
            </w:r>
          </w:p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51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przeprowadza doświadczenia: bada zależność natężenia prądu od rodzaju odbiornika (żarówki) przy tym samym napięciu oraz zależność oporu elektrycznego przewodnika od jego długości, pola przekroju poprzecznego i rodzaju materiału, z jakiego jest wykonany, korzystając z ich opisów; </w:t>
            </w:r>
            <w:r>
              <w:rPr>
                <w:b/>
                <w:sz w:val="17"/>
                <w:szCs w:val="17"/>
                <w:lang w:val="pl-PL"/>
              </w:rPr>
              <w:t>łączy według podanego schematu obwód elektryczny</w:t>
            </w:r>
            <w:r>
              <w:rPr>
                <w:sz w:val="17"/>
                <w:szCs w:val="17"/>
                <w:lang w:val="pl-PL"/>
              </w:rPr>
              <w:t xml:space="preserve">; </w:t>
            </w:r>
            <w:r>
              <w:rPr>
                <w:b/>
                <w:sz w:val="17"/>
                <w:szCs w:val="17"/>
                <w:lang w:val="pl-PL"/>
              </w:rPr>
              <w:t>odczytuje i </w:t>
            </w:r>
            <w:r>
              <w:rPr>
                <w:sz w:val="17"/>
                <w:szCs w:val="17"/>
                <w:lang w:val="pl-PL"/>
              </w:rPr>
              <w:t xml:space="preserve">zapisuje </w:t>
            </w:r>
            <w:r>
              <w:rPr>
                <w:b/>
                <w:sz w:val="17"/>
                <w:szCs w:val="17"/>
                <w:lang w:val="pl-PL"/>
              </w:rPr>
              <w:t>wskazania mierników</w:t>
            </w:r>
            <w:r>
              <w:rPr>
                <w:sz w:val="17"/>
                <w:szCs w:val="17"/>
                <w:lang w:val="pl-PL"/>
              </w:rPr>
              <w:t>; formułuje wnioski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50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rozpoznaje symbol graficzny opornika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49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pojęciem oporu elektrycznego jako własnością przewodnika; posługuje się jednostką oporu (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>
              <w:rPr>
                <w:rFonts w:ascii="Cambria Math" w:hAnsi="Cambria Math"/>
                <w:sz w:val="17"/>
                <w:szCs w:val="17"/>
                <w:lang w:val="en-US"/>
              </w:rPr>
              <w:t>Ω</w:t>
            </w:r>
            <w:r>
              <w:rPr>
                <w:sz w:val="17"/>
                <w:szCs w:val="17"/>
                <w:lang w:val="pl-PL"/>
              </w:rPr>
              <w:t xml:space="preserve"> 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48"/>
              </w:numPr>
              <w:tabs>
                <w:tab w:val="clear" w:pos="708"/>
                <w:tab w:val="left" w:pos="224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>doświadczalnie wyznacza opór przewodnika, mierząc napięcie na jego końcach oraz natężenie prądu przez niego płynącego</w:t>
            </w:r>
            <w:r>
              <w:rPr>
                <w:sz w:val="17"/>
                <w:szCs w:val="17"/>
                <w:lang w:val="pl-PL"/>
              </w:rPr>
              <w:t>; zapisuje wyniki pomiarów wraz z ich jednostkami, z uwzględnie-niem informacji o niepewności; przeprowadza obliczenia i zapisuje wynik zgodnie z zasadami zaokrąglania, z zachowaniem liczby cyfr znaczących wynikającej z dokładności pomiarów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47"/>
              </w:numPr>
              <w:tabs>
                <w:tab w:val="clear" w:pos="708"/>
                <w:tab w:val="left" w:pos="224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stosuje w obliczeniach związek między napięciem a natężeniem prądu i oporem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46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z w:val="17"/>
                <w:szCs w:val="17"/>
                <w:lang w:val="pl-PL"/>
              </w:rPr>
              <w:t>stosuje w obliczeniach zależność oporu elektrycznego przewodnika od jego długości, pola przekroju i rodzaju materiału, z jakiego jest wykonany; przeprowadza obliczenia i zapisuje wynik zgodnie z zasadami zaokrąglania, z zachowaniem liczby cyfr znaczących wynikającej z dokładności danych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45"/>
              </w:numPr>
              <w:tabs>
                <w:tab w:val="clear" w:pos="708"/>
                <w:tab w:val="left" w:pos="225" w:leader="none"/>
              </w:tabs>
              <w:spacing w:lineRule="auto" w:line="288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z w:val="17"/>
                <w:szCs w:val="17"/>
                <w:lang w:val="pl-PL"/>
              </w:rPr>
              <w:t xml:space="preserve">projektuje i przeprowadza doświadczenie (inne niż opisane w podręczniku) wykazujące zależność </w:t>
            </w:r>
            <w:r>
              <w:rPr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R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ρ</m:t>
              </m:r>
              <m:f>
                <m:num>
                  <m:r>
                    <w:rPr>
                      <w:rFonts w:ascii="Cambria Math" w:hAnsi="Cambria Math"/>
                    </w:rPr>
                    <m:t xml:space="preserve">l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S</m:t>
                  </m:r>
                </m:den>
              </m:f>
            </m:oMath>
            <w:r>
              <w:rPr>
                <w:sz w:val="17"/>
                <w:szCs w:val="17"/>
                <w:lang w:val="pl-PL"/>
              </w:rPr>
              <w:t xml:space="preserve">; krytycznie ocenia jego wynik; wskazuje czynniki istotne i nieistotne dla jego wyniku; formułuje wnioski 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44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z w:val="17"/>
                <w:szCs w:val="17"/>
                <w:lang w:val="pl-PL"/>
              </w:rPr>
              <w:t>posługuje się pojęciem oporu właściwego oraz tabelami wielkości fizycznych w celu wyszukania jego wartości dla danej substancji; analizuje i porównuje wartości oporu właściwego różnych substancji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43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(lub bardziej złożone) zadania z wykorzystaniem związku między napięciem a natężeniem prądu i oporem elektrycznym; rozpoznaje zależność rosnącą bądź malejącą na podstawie danych z tabeli lub na podstawie wykresu (rozpoznaje proporcjonalność prostą na podstawie wykresu)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(X)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42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złożone zadania z wykorzystaniem związku między napięciem a natężeniem prądu i oporem elektrycznym (oraz zależności oporu elektrycznego przewodnika od jego długości, pola przekroju poprzecznego i rodzaju materiału, z jakiego jest wykonany); przelicza podwielokro-tności i wielokrotności, przeprowadza obliczenia i zapisuje wynik zgodnie z zasadami zaokrągla-nia, z zachowaniem liczby cyfr znaczących wynikającej z danych; sporządza wykres zależności natężenia prądu od przyłożonego napięcia </w:t>
            </w:r>
            <w:r>
              <w:rPr>
                <w:i/>
                <w:sz w:val="17"/>
                <w:szCs w:val="17"/>
                <w:lang w:val="pl-PL"/>
              </w:rPr>
              <w:t>I</w:t>
            </w:r>
            <w:r>
              <w:rPr>
                <w:sz w:val="17"/>
                <w:szCs w:val="17"/>
                <w:lang w:val="pl-PL"/>
              </w:rPr>
              <w:t>(</w:t>
            </w:r>
            <w:r>
              <w:rPr>
                <w:rFonts w:ascii="Cambria Math" w:hAnsi="Cambria Math"/>
                <w:i/>
                <w:sz w:val="17"/>
                <w:szCs w:val="17"/>
                <w:lang w:val="pl-PL"/>
              </w:rPr>
              <w:t>U</w:t>
            </w:r>
            <w:r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(X)</w:t>
            </w:r>
          </w:p>
        </w:tc>
      </w:tr>
      <w:tr>
        <w:trPr>
          <w:trHeight w:val="214" w:hRule="atLeast"/>
        </w:trPr>
        <w:tc>
          <w:tcPr>
            <w:tcW w:w="1666" w:type="dxa"/>
            <w:tcBorders>
              <w:top w:val="single" w:sz="4" w:space="0" w:color="C4C4C4"/>
              <w:left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F7CAAC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41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oporu elektrycznego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 xml:space="preserve">Praca i moc prądu elektrycznego </w:t>
            </w:r>
          </w:p>
          <w:p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40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wyróżnia formy energii, na jakie jest zamieniana energia elektryczna; wskazuje źródła energii elektrycznej i odbiorniki; podaje ich przykłady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39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pojęciem pracy i mocy prądu elektrycznego wraz z ich jednostkami; stosuje w obli-czeniach związek między tymi wielkościami oraz wzory na pracę i moc prądu elektrycznego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38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przelicza energię elektryczną wyrażoną w kilowatogodzinach na dżule i odwrotnie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37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przeprowadza doświadczenie (wyznacza moc żarówki zasilanej z baterii za pomocą woltomierza i amperomierza), korzystając z jego opisu; </w:t>
            </w:r>
            <w:r>
              <w:rPr>
                <w:b/>
                <w:sz w:val="17"/>
                <w:szCs w:val="17"/>
                <w:lang w:val="pl-PL"/>
              </w:rPr>
              <w:t>łączy według podanego schematu obwód ele-ktryczny</w:t>
            </w:r>
            <w:r>
              <w:rPr>
                <w:sz w:val="17"/>
                <w:szCs w:val="17"/>
                <w:lang w:val="pl-PL"/>
              </w:rPr>
              <w:t xml:space="preserve">; </w:t>
            </w:r>
            <w:r>
              <w:rPr>
                <w:b/>
                <w:sz w:val="17"/>
                <w:szCs w:val="17"/>
                <w:lang w:val="pl-PL"/>
              </w:rPr>
              <w:t>odczytuje</w:t>
            </w:r>
            <w:r>
              <w:rPr>
                <w:sz w:val="17"/>
                <w:szCs w:val="17"/>
                <w:lang w:val="pl-PL"/>
              </w:rPr>
              <w:t xml:space="preserve"> i</w:t>
            </w:r>
            <w:r>
              <w:rPr>
                <w:b/>
                <w:sz w:val="17"/>
                <w:szCs w:val="17"/>
                <w:lang w:val="pl-PL"/>
              </w:rPr>
              <w:t> </w:t>
            </w:r>
            <w:r>
              <w:rPr>
                <w:sz w:val="17"/>
                <w:szCs w:val="17"/>
                <w:lang w:val="pl-PL"/>
              </w:rPr>
              <w:t xml:space="preserve">zapisuje </w:t>
            </w:r>
            <w:r>
              <w:rPr>
                <w:b/>
                <w:sz w:val="17"/>
                <w:szCs w:val="17"/>
                <w:lang w:val="pl-PL"/>
              </w:rPr>
              <w:t>wskazania mierników</w:t>
            </w:r>
            <w:r>
              <w:rPr>
                <w:sz w:val="17"/>
                <w:szCs w:val="17"/>
                <w:lang w:val="pl-PL"/>
              </w:rPr>
              <w:t>; przeprowadza obliczenia i zapisuje wynik zgodnie z zasadami zaokrąglania, z zachowaniem liczby cyfr znaczących wynikającej z dokładności pomiarów; formułuje wniosek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36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pojęciem mocy znamionowej; analizuje i porównuje dane na tabliczkach znamio-nowych różnych urządzeń elektrycznych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35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tekstów, tabel, diagramów i ilustracji informacje kluczowe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34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z wykorzystaniem wzorów na pracę i moc prądu elektrycznego oraz związku między tymi wielkościami; oblicza zużycie energii elektrycznej dowolnego odbiornika; przelicza podwielokrotności i wielokrotności oraz jednostki czasu, przeprowadza obliczenia i zapisuje wynik zgodnie z zasadami zaokrąglania, z zachowaniem liczby cyfr znaczących wynikającej z danych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33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złożone zadania związane z obliczaniem zużycia energii elektrycznej (i kosztów zużycia energii elektrycznej)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(X)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32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energii elektrycznej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 xml:space="preserve">Użytkowanie ener-gii elektrycznej </w:t>
            </w:r>
          </w:p>
          <w:p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31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wyjaśnia, na czym polega zwarcie; opisuje rolę izolacji i bezpieczników przeciążeniowych w domowej sieci elektrycznej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30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warunki bezpiecznego korzystania z energii elektrycznej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29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wyjaśnia różnicę między prądem stałym a prądem przemiennym; wskazuje baterię, akumulator, zasilacz jako źródła stałego napięcia; odróżnia to napięcie od napięcia w przewodach doprowadzających prąd do mieszkań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28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z w:val="17"/>
                <w:szCs w:val="17"/>
                <w:lang w:val="pl-PL"/>
              </w:rPr>
              <w:t>opisuje zależność napięcia od czasu w przewodach doprowadzających prąd do mieszkań (ilustruje ją na wykresie); posługuje się pojęciem napięcia skutecznego; wyjaśnia rolę zasilaczy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(X)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F7CAAC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F7CAAC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27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</w:tc>
        <w:tc>
          <w:tcPr>
            <w:tcW w:w="854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F7CAAC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26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skutki działania prądu na organizm człowieka i inne organizmy żywe; wskazuje zagrożenia porażeniem prądem elektrycznym; podaje podstawowe zasady udzielania pierwszej pomocy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25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wskazuje skutki przerwania dostaw energii elektrycznej do urządzeń o kluczowym znaczeniu oraz rolę zasilania awaryjnego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24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tekstów, tabel, wykresów i ilustracji informacje kluczowe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23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związane z użytkowaniem energii elektrycznej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22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złożone zadania związane z analizą funkcji bezpieczników; przeprowadza obliczenia i zapisuje wynik zgodnie z zasadami zaokrąglania, z zachowaniem liczby cyfr znaczących wynikającej z dokładności danych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21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użytkowania energii elektrycznej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w w:val="99"/>
                <w:sz w:val="17"/>
                <w:szCs w:val="17"/>
                <w:lang w:val="pl-PL"/>
              </w:rPr>
            </w:pPr>
            <w:r>
              <w:rPr>
                <w:b/>
                <w:spacing w:val="-1"/>
                <w:w w:val="99"/>
                <w:sz w:val="17"/>
                <w:szCs w:val="17"/>
                <w:lang w:val="pl-PL"/>
              </w:rPr>
              <w:t xml:space="preserve">Podsumowanie </w:t>
            </w:r>
            <w:r>
              <w:rPr>
                <w:b/>
                <w:w w:val="99"/>
                <w:sz w:val="17"/>
                <w:szCs w:val="17"/>
                <w:lang w:val="pl-PL"/>
              </w:rPr>
              <w:t xml:space="preserve">wiadomości dotyczących prądu elektry-cznego </w:t>
            </w:r>
          </w:p>
          <w:p>
            <w:pPr>
              <w:pStyle w:val="TableParagraph"/>
              <w:rPr>
                <w:w w:val="99"/>
                <w:sz w:val="17"/>
                <w:szCs w:val="17"/>
                <w:lang w:val="pl-PL"/>
              </w:rPr>
            </w:pPr>
            <w:r>
              <w:rPr>
                <w:w w:val="99"/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20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19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(lub problemy) bardziej złożone, ale 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18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17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tekstów, tabel i rysunków informacje kluczowe dla opisywanego zjawiska bądź problemu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16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projekt: </w:t>
            </w:r>
            <w:r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>
              <w:rPr>
                <w:sz w:val="17"/>
                <w:szCs w:val="17"/>
                <w:lang w:val="pl-PL"/>
              </w:rPr>
              <w:t xml:space="preserve">(lub inny związany z treściami rozdziału </w:t>
            </w:r>
            <w:r>
              <w:rPr>
                <w:i/>
                <w:sz w:val="17"/>
                <w:szCs w:val="17"/>
                <w:lang w:val="pl-PL"/>
              </w:rPr>
              <w:t>Prąd elektryczny</w:t>
            </w:r>
            <w:r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(X)</w:t>
            </w:r>
          </w:p>
        </w:tc>
      </w:tr>
      <w:tr>
        <w:trPr>
          <w:trHeight w:val="214" w:hRule="atLeast"/>
        </w:trPr>
        <w:tc>
          <w:tcPr>
            <w:tcW w:w="13993" w:type="dxa"/>
            <w:gridSpan w:val="6"/>
            <w:tcBorders>
              <w:left w:val="single" w:sz="6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 xml:space="preserve">III. MAGNETYZM 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 xml:space="preserve">Bieguny magnetyczne </w:t>
            </w:r>
          </w:p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15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doświadczenia (bada wzajemne oddziaływanie magnesów oraz oddziaływanie magnesów na żelazo i inne materiały magnetyczne), korzystając z ich opisów; wskazuje rolę użytych przyrządów oraz czynniki istotne i nieistotne dla wyników doświadczeń; formułuje wnioski na podstawie tych wyników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14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13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zachowanie się igły magnetycznej w obecności magnesu oraz zasadę działania kompasu (podaje czynniki zakłócające jego prawidłowe działanie); posługuje się pojęciem biegunów magnetycznych Ziemi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F7CAAC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F7CAAC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12"/>
              </w:numPr>
              <w:tabs>
                <w:tab w:val="clear" w:pos="708"/>
                <w:tab w:val="left" w:pos="224" w:leader="none"/>
              </w:tabs>
              <w:spacing w:before="0" w:after="20"/>
              <w:ind w:left="170" w:hanging="170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>doświadczalnie demonstruje zachowanie się igły magnetycznej w obecności magnesu</w:t>
            </w:r>
          </w:p>
        </w:tc>
        <w:tc>
          <w:tcPr>
            <w:tcW w:w="854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11"/>
              </w:numPr>
              <w:tabs>
                <w:tab w:val="clear" w:pos="708"/>
                <w:tab w:val="left" w:pos="224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porównuje oddziaływania elektrostatyczne i magnetyczne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10"/>
              </w:numPr>
              <w:tabs>
                <w:tab w:val="clear" w:pos="708"/>
                <w:tab w:val="left" w:pos="224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na przykładzie żelaza oddziaływanie magnesów na materiały magnetyczne; stwierdza, że w pobliżu magnesu każdy kawałek żelaza staje się magnesem (namagnesowuje się), a przedmioty wykonane z ferromagnetyku wzmacniają oddziaływanie magnetyczne magnesu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09"/>
              </w:numPr>
              <w:tabs>
                <w:tab w:val="clear" w:pos="708"/>
                <w:tab w:val="left" w:pos="224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08"/>
              </w:numPr>
              <w:tabs>
                <w:tab w:val="clear" w:pos="708"/>
                <w:tab w:val="left" w:pos="224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07"/>
              </w:numPr>
              <w:tabs>
                <w:tab w:val="clear" w:pos="708"/>
                <w:tab w:val="left" w:pos="224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wyjaśnia, na czym polega namagnesowanie ferromagnetyku; posługuje się pojęciem domen magnetycznych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06"/>
              </w:numPr>
              <w:tabs>
                <w:tab w:val="clear" w:pos="708"/>
                <w:tab w:val="left" w:pos="224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 i rysunków informacje kluczowe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05"/>
              </w:numPr>
              <w:tabs>
                <w:tab w:val="clear" w:pos="708"/>
                <w:tab w:val="left" w:pos="224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dotyczące wzajemnego oddziaływania magnesów oraz oddziały-wania magnesów na materiały magnetyczne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04"/>
              </w:numPr>
              <w:tabs>
                <w:tab w:val="clear" w:pos="708"/>
                <w:tab w:val="left" w:pos="224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zadania złożone dotyczące wzajemnego oddziaływania magnesów oraz oddziały-wania magnesów na materiały magnetyczne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03"/>
              </w:numPr>
              <w:tabs>
                <w:tab w:val="clear" w:pos="708"/>
                <w:tab w:val="left" w:pos="224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wzajemnego oddziaływania magnesów oraz oddziaływania magnesów na materiały magnetyczne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 xml:space="preserve">Właściwości magnetyczne przewodnika z prądem </w:t>
            </w:r>
          </w:p>
          <w:p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02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doświadczenie Oersteda; podaje wnioski wynikające z tego doświadczenia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01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doświadczenia (bada zachowanie się igły magnetycznej w otoczeniu prostolinio-wego przewodnika  z prądem, bada oddziaływania magnesów trwałych i przewodników z prądem oraz wzajemne oddziaływanie przewodników z prądem), korzystając z ich opisów i przestrzegając zasad bezpieczeństwa; formułuje wnioski na podstawie wyników przeprowadzo-nych doświadczeń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00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zachowanie się igły magnetycznej w otoczeniu prostoliniowego przewodnika z prądem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99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b/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doświadczalnie demonstruje zjawisko oddziaływania przewodnika z prądem na igłę magnetyczną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98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wzajemne oddziaływanie przewodników, przez które płynie prąd elektryczny, i magnesu trwałego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97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stwierdza, że linie, wzdłuż których igła kompasu lub opiłki układają się wokół prostoliniowego przewodnika z prądem, mają kształt współśrodkowych okręgów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96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F7CAAC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F7CAAC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95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sposoby wyznaczania biegunowości magnetycznej przewodnika kołowego i zwojnicy (reguła śruby prawoskrętnej, reguła prawej dłoni, na podstawie ułożenia strzałek oznaczających kierunek prądu – metoda liter S i N); stosuje wybrany sposób do wyznaczania biegunowości przewodnika kołowego lub zwojnicy</w:t>
            </w:r>
          </w:p>
        </w:tc>
        <w:tc>
          <w:tcPr>
            <w:tcW w:w="854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F7CAAC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94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jakościowo wzajemne oddziaływanie dwóch przewodników, przez które płynie prąd elektryczny (określa, kiedy przewodniki się przyciągają, a kiedy się odpychają)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93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 lub ilustracji informacje kluczowe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92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dotyczące właściwości magnetycznych przewodników z prądem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91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zadania bardziej złożone lub problemy dotyczące właściwości magnetycznych przewodników z prądem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90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właściwości magnetycznych przewodników z prądem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BFBFBF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 xml:space="preserve">Elektromagnes – budowa, działa-nie, zastosowanie </w:t>
            </w:r>
          </w:p>
          <w:p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89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doświadczenie (bada zależność magnetycznych właściwości zwojnicy od obecności w niej rdzenia  z ferromagnetyku oraz od liczby zwojów i natężenia prądu płynącego przez zwoje), korzystając z jego opisu; formułuje wnioski na podstawie wyników doświadczenia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88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budowę i działanie elektromagnesu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87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wzajemne oddziaływanie elektromagnesów i magnesów; wymienia przykłady zastoso-wania elektromagnesów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86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działanie dzwonka elektromagnetycznego lub zamka elektrycznego, korzystając ze schematu przedstawiającego jego budowę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85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z w:val="17"/>
                <w:szCs w:val="17"/>
                <w:lang w:val="pl-PL"/>
              </w:rPr>
              <w:t>wyjaśnia, co to są paramagnetyki i diamagnetyki; podaje ich przykłady; przeprowadza doświadczenie (wykazujące oddziaływanie magnesu na diamagnetyk), korzystając z jego opisu; formułuje wniosek na podstawie wyniku doświadczenia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84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projektuje i buduje elektromagnes (inny niż opisany w podręczniku); demonstruje jego działanie, przestrzegając zasad bezpieczeństwa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83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 i ilustracji informacje kluczowe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82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dotyczące działania i zastosowania elektromagnesów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81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złożone zadania (lub problemy) dotyczące działania i zastosowania elektromag-nesów (związane z analizą schematów urządzeń zawierających elektromagnesy)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(X)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80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działania i zastosowania elektromagnesów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 xml:space="preserve">Oddziaływanie magnetyczne a silnik elektryczny </w:t>
            </w:r>
          </w:p>
          <w:p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79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doświadczenia (demonstruje działanie siły magnetycznej i bada, od czego zależą jej wartość i zwrot; demonstruje zasadę działania silnika elektrycznego prądu stałego), korzysta-jąc z ich opisu i przestrzegając zasad bezpieczeństwa; formułuje wnioski na podstawie wyników przeprowadzonych doświadczeń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78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pojęciem siły magnetycznej (elektrodynamicznej); opisuje jakościowo, od czego ona zależy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77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ustala kierunek i zwrot działania siły magnetycznej na podstawie reguły lewej dłoni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76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wskazuje oddziaływanie magnetyczne jako podstawę działania silników elektrycznych; podaje przykłady wykorzystania silników elektrycznych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75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z w:val="17"/>
                <w:szCs w:val="17"/>
                <w:lang w:val="pl-PL"/>
              </w:rPr>
              <w:t>opisuje budowę silnika elektrycznego prądu stałego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74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z w:val="17"/>
                <w:szCs w:val="17"/>
                <w:lang w:val="pl-PL"/>
              </w:rPr>
              <w:t>opisuje działanie silnika elektrycznego prądu stałego, korzystając ze schematu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73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 i ilustracji informacje kluczowe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72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dotyczące działania siły magnetycznej i wykorzystania silników elektrycznych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71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złożone zadania (lub problemy) związane z działaniem siły magnetycznej oraz działaniem i wykorzystaniem silników elektrycznych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(X)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70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działania siły magnetycznej i wykorzystania silników elektrycznych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BFBFBF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pacing w:val="-1"/>
                <w:sz w:val="17"/>
                <w:szCs w:val="17"/>
                <w:lang w:val="pl-PL"/>
              </w:rPr>
              <w:t xml:space="preserve">Podsumowanie </w:t>
            </w:r>
            <w:r>
              <w:rPr>
                <w:b/>
                <w:sz w:val="17"/>
                <w:szCs w:val="17"/>
                <w:lang w:val="pl-PL"/>
              </w:rPr>
              <w:t xml:space="preserve">wiadomości dotyczących magnetyzmu </w:t>
            </w:r>
          </w:p>
          <w:p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69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68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(lub problemy) bardziej złożone, ale 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67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66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 i ilustracji informacje kluczowe dla opisywanego zjawiska bądź problemu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65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posługuje się informacjami pochodzącymi z analizy tekstu: </w:t>
            </w:r>
            <w:r>
              <w:rPr>
                <w:i/>
                <w:sz w:val="17"/>
                <w:szCs w:val="17"/>
                <w:lang w:val="pl-PL"/>
              </w:rPr>
              <w:t xml:space="preserve">Właściwości magnesów i ich zastosowania </w:t>
            </w:r>
            <w:r>
              <w:rPr>
                <w:sz w:val="17"/>
                <w:szCs w:val="17"/>
                <w:lang w:val="pl-PL"/>
              </w:rPr>
              <w:t xml:space="preserve">(lub innego związanego z treściami rozdziału </w:t>
            </w:r>
            <w:r>
              <w:rPr>
                <w:i/>
                <w:sz w:val="17"/>
                <w:szCs w:val="17"/>
                <w:lang w:val="pl-PL"/>
              </w:rPr>
              <w:t>Magnetyzm</w:t>
            </w:r>
            <w:r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3993" w:type="dxa"/>
            <w:gridSpan w:val="6"/>
            <w:tcBorders>
              <w:left w:val="single" w:sz="6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>IV. DRGANIA i FALE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 xml:space="preserve">Ruch drgający </w:t>
            </w:r>
          </w:p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64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doświadczenie (demonstruje ruch drgający ciężarka zawieszonego na sprężynie lub nici), korzystając z jego opisu; wskazuje położenie równowagi, formułuje wnioski na podsta-wie wyników obserwacji ruchu drgającego ciężarka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63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ruch okresowy wahadła; wskazuje położenie równowagi i amplitudę tego ruchu; podaje przykłady ruchu okresowego w otoczeniu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F7CAAC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F7CAAC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62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ruch drgający (drgania) ciała pod wpływem siły sprężystości; wskazuje położenie równowagi i amplitudę drgań</w:t>
            </w:r>
          </w:p>
        </w:tc>
        <w:tc>
          <w:tcPr>
            <w:tcW w:w="854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61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pojęciami okresu i częstotliwości wraz z ich jednostkami (odpowiednio sekunda i herc) do opisu ruchu okresowego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60"/>
              </w:numPr>
              <w:tabs>
                <w:tab w:val="clear" w:pos="708"/>
                <w:tab w:val="left" w:pos="225" w:leader="none"/>
              </w:tabs>
              <w:spacing w:before="0" w:after="4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pojęciem częstotliwości jako liczbą pełnych drgań (wahnięć) w jednostce czasu (</w:t>
            </w:r>
            <w:r>
              <w:rPr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n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t</m:t>
                  </m:r>
                </m:den>
              </m:f>
            </m:oMath>
            <w:r>
              <w:rPr>
                <w:sz w:val="17"/>
                <w:szCs w:val="17"/>
                <w:lang w:val="pl-PL"/>
              </w:rPr>
              <w:t>); na tej podstawie określa jej jednostkę (</w:t>
            </w:r>
            <w:r>
              <w:rPr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1</m:t>
              </m:r>
              <m:r>
                <w:rPr>
                  <w:rFonts w:ascii="Cambria Math" w:hAnsi="Cambria Math"/>
                </w:rPr>
                <m:t xml:space="preserve">Hz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s</m:t>
                  </m:r>
                </m:den>
              </m:f>
            </m:oMath>
            <w:r>
              <w:rPr>
                <w:sz w:val="17"/>
                <w:szCs w:val="17"/>
                <w:lang w:val="pl-PL"/>
              </w:rPr>
              <w:t>); stosuje do obliczeń związek między częstotliwością a okresem drgań (</w:t>
            </w:r>
            <w:r>
              <w:rPr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T</m:t>
                  </m:r>
                </m:den>
              </m:f>
            </m:oMath>
            <w:r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59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pojęciami: wahadła matematycznego, wahadła sprężynowego, częstotliwości drgań własnych; odróżnia wahadło matematyczne od wahadła sprężynowego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58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 xml:space="preserve">doświadczalnie wyznacza okres i częstotliwość w ruchu okresowym </w:t>
            </w:r>
            <w:r>
              <w:rPr>
                <w:sz w:val="17"/>
                <w:szCs w:val="17"/>
                <w:lang w:val="pl-PL"/>
              </w:rPr>
              <w:t>(wahadła i ciężarka zawieszonego na sprężynie); bada jakościowo zależność okresu wahadła od jego długości i zależność okresu drgań ciężarka od jego masy (korzystając z opisu doświadczeń); wskazuje czynniki istotne i nieistotne dla wyników doświadczeń (uzasadnia, że pomiar większej liczby drgań zmniejsza niepewność pomiaru czasu); zapisuje wyniki pomiarów wraz z ich jednostką, z uwzględnieniem informacji o niepewności; przeprowadza obliczenia i zapisuje wyniki zgodnie z zasadami zaokrąglania, zachowaniem liczby cyfr znaczących wynikającej z dokładności pomiarów; formułuje wnioski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57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projektuje i przeprowadza doświadczenie (inne niż opisane w podręczniku) w celu zbadania od czego (i jak) zależą, a od czego nie zależą okres i częstotliwość w ruchu okresowym; opracowuje i krytycznie ocenia jego wyniki; formułuje wnioski i prezentuje efekty przeprowadzonego badania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56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tekstów, tabel i ilustracji informacje kluczowe; rozpoznaje zależność rosnącą bądź malejącą na podstawie danych z tabeli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55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dotyczące ruchu drgającego z wykorzystaniem związku między czę-stotliwością a okresem drgań; przelicza jednostki czasu, przeprowadza obliczenia i zapisuje wynik zgodnie z zasadami zaokrąglania, z zachowaniem liczby cyfr znaczących wynikającej z danych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54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zadania bardziej złożone, ale typowe, dotyczące ruchu drgającego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53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ruchu drgającego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lineRule="exact" w:line="180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 xml:space="preserve">Wykres ruchu drgającego. Przemiany energii </w:t>
            </w:r>
          </w:p>
          <w:p>
            <w:pPr>
              <w:pStyle w:val="TableParagraph"/>
              <w:spacing w:lineRule="exact" w:line="18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52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wyznacza amplitudę i okres drgań na podstawie wykresu zależności położenia od czasu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51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analizuje jakościowo przemiany energii kinetycznej i energii potencjalnej sprężystości w ruchu drgającym; podaje przykłady przemian energii podczas drgań zachodzących w otoczeniu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F7CAAC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F7CAAC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50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analizuje wykresy zależności położenia od czasu w ruchu drgającym; porównuje drgania ciał na podstawie tych wykresów</w:t>
            </w:r>
          </w:p>
        </w:tc>
        <w:tc>
          <w:tcPr>
            <w:tcW w:w="854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F7CAAC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49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przedstawia na schematycznym rysunku wykres zależności położenia od czasu w ruchu drgającym; zaznacza na nim amplitudę i okres drgań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48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 lub ilustracji (w tym: wykresów, diagramów, rysunków schematycznych lub blokowych) informacje kluczowe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47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dotyczące przemian energii w ruchu drgającym i związane z wyzna-czaniem amplitudy i okresu drgań na podstawie wykresu zależności położenia od czasu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46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złożone zadania (lub problemy) związane z analizą wykresów zależności położenia od czasu i przemian energii w ruchu drgającym, z wykorzystaniem związku między częstotliwością a okresem drgań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(X)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45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przemian energii w ruchu drgającym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 xml:space="preserve">Fale mechaniczne </w:t>
            </w:r>
          </w:p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44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doświadczenia (demonstruje powstawanie fali na sznurze i wodzie), korzystając z ich opisów; formułuje wnioski na podstawie wyników obserwacji wytworzonych fal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43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42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wskazuje drgające ciało jako źródło fali mechanicznej, posługuje się pojęciami: amplitudy, okresu, częstotliwości i długości fali do opisu fal; podaje przykłady fal mechanicznych w otoczeniu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41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posługuje się pojęciem prędkości rozchodzenia się fali; opisuje związek między prędkością, długością i częstotliwością (lub okresem) fali: </w:t>
            </w:r>
            <w:r>
              <w:rPr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∙</m:t>
              </m:r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sz w:val="17"/>
                <w:szCs w:val="17"/>
                <w:lang w:val="pl-PL"/>
              </w:rPr>
              <w:t xml:space="preserve"> (lub </w:t>
            </w:r>
            <w:r>
              <w:rPr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/>
                <m:den>
                  <m:r>
                    <w:rPr>
                      <w:rFonts w:ascii="Cambria Math" w:hAnsi="Cambria Math"/>
                    </w:rPr>
                    <m:t xml:space="preserve">T</m:t>
                  </m:r>
                </m:den>
              </m:f>
            </m:oMath>
            <w:r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40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stosuje w obliczeniach związki między okresem, częstotliwością i długością fali wraz z ich jednostkami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39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analizuje wykres fali; wskazuje i wyznacza jej długość i amplitudę; porównuje fale na podstawie ich ilustracji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38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tekstów, wykresów, schematycznych rysunków i innych ilustracji informacje kluczowe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37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z wykorzystaniem związków między okresem, częstotliwością i długością fali; przeprowadza obliczenia i zapisuje wynik zgodnie z zasadami zaokrąglania, zachowaniem liczby cyfr znaczących wynikającej z dokładności danych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F7CAAC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F7CAAC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36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złożone zadania (lub problemy) z wykorzystaniem związków między okresem, częstotli-wością i długością fali oraz analizy wykresu fali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(X)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35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fal mechanicznych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 xml:space="preserve">Fale dźwiękowe </w:t>
            </w:r>
          </w:p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34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doświadczenia (wytwarza dźwięki i wykazuje, że do rozchodzenia się dźwięku potrzebny jest ośrodek), korzystając z ich opisu; formułuje wnioski na podstawie wyników tych doświadczeń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33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stwierdza, że źródłem dźwięku jest drgające ciało, a do jego rozchodzenia się potrzebny jest ośrodek (dźwięk nie rozchodzi się w próżni); podaje przykłady źródeł dźwięków w otoczeniu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32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>doświadczalnie demonstruje dźwięki o różnych częstotliwościach z wykorzystaniem drgającego przedmiotu lub instrumentu muzycznego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31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mechanizm powstawania i rozchodzenia się fal dźwiękowych w powietrzu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30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stwierdza, że fale dźwiękowe można opisać za pomocą tych samych związków między długo-ścią, prędkością, częstotliwością i okresem fali, jak w przypadku fal mechanicznych; porównuje wartości prędkości fal dźwiękowych w różnych ośrodkach, korzystając z tabeli tych wartości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29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mechanizm wytwarzania dźwięków w wybranym instrumencie muzycznym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28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tekstów, tabel i ilustracji informacje kluczowe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27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dotyczące fal dźwiękowych z wykorzystaniem związków między długo-ścią, prędkością, częstotliwością i okresem fali; przeprowadza obliczenia i zapisuje wynik zgodnie z zasadami zaokrąglania, z zachowaniem liczby cyfr znaczących wynikającej z danych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26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złożone zadania (lub problemy) dotyczące fal dźwiękowych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25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fal dźwiękowych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BFBFBF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 xml:space="preserve">Wysokość i gło-śność dźwięku </w:t>
            </w:r>
          </w:p>
          <w:p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24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doświadczenia (wytwarza dźwięki i bada jakościowo zależność ich wysokości od częstotliwości drgań i zależność ich głośności od amplitudy drgań), korzystając z ich opisu; formułuje wnioski na podstawie wyników tych doświadczeń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23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pojęciami energii i natężenia fali; opisuje jakościowo związek między energią fali a amplitudą fali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22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jakościowo związki między wysokością dźwięku a częstotliwością fali oraz między natężeniem dźwięku (głośnością) a energią fali i amplitudą fali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21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F7CAAC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F7CAAC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20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rozróżnia dźwięki słyszalne, ultradźwięki i infradźwięki; wymienia przykłady ich źródeł i zastosowania; opisuje szkodliwość hałasu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19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>doświadczalnie obserwuje oscylogramy dźwięków z wykorzystaniem różnych technik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18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analizuje oscylogramy różnych dźwięków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17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z w:val="17"/>
                <w:szCs w:val="17"/>
                <w:lang w:val="pl-PL"/>
              </w:rPr>
              <w:t>posługuje się pojęciem poziomu natężenia dźwięku wraz z jego jednostką (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>
              <w:rPr>
                <w:sz w:val="17"/>
                <w:szCs w:val="17"/>
                <w:lang w:val="pl-PL"/>
              </w:rPr>
              <w:t>); określa progi słyszalności i bólu oraz hałas szkodliwy dla zdrowia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16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tekstów, tabel, diagramów oraz wykresów (oscylogramów) i innych ilustracji informacje kluczowe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15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związane z wysokością i głośnością dźwięków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14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złożone zadania (lub problemy) związane z porównywaniem różnych dźwięków i analizą ich oscylogramów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13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wysokości i głośności dźwięków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 xml:space="preserve">Fale elektro-magnetyczne </w:t>
            </w:r>
          </w:p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12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stwierdza, że źródłem fal elektromagnetycznych są drgające ładunki elektryczne oraz prąd, którego natężenie zmienia się w czasie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11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wymienia rodzaje fal elektromagnetycznych: radiowe, mikrofale, promieniowanie podczerwone, światło widzialne, promieniowanie nadfioletowe, rentgenowskie i gamma; wskazuje przykłady ich zastosowania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10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poszczególne rodzaje fal elektromagnetycznych; podaje odpowiadające im długości i częstotliwości fal, korzystając z diagramu przedstawiającego widmo fal elektromagnetycznych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09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wymienia cechy wspólne i różnice w rozchodzeniu się fal mechanicznych i elektromagnety-cznych; podaje wartość prędkości fal elektromagnetycznych w próżni; porównuje wybrane fale (np. dźwiękowe i świetlne)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08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z w:val="17"/>
                <w:szCs w:val="17"/>
                <w:lang w:val="pl-PL"/>
              </w:rPr>
              <w:t>wyjaśnia ogólną zasadę działania radia, telewizji i telefonów komórkowych, korzystając ze schematu przesyłania fal elektromagnetycznych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07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tekstów, tabel, diagramów, rysunków schematycznych i blokowych oraz innych ilustracji informacje kluczowe dla opisywanego zjawiska bądź problemu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06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dotyczące fal elektromagnetycznych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05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złożone zadania (lub problemy) dotyczące fal elektromagnetycznych z wykorzysta-niem związków między długością, prędkością, częstotliwością i okresem fali; przelicza podwielo-krotności i wielokrotności oraz jednostki czasu; przeprowadza obliczenia i zapisuje wynik zgodnie z zasadami zaokrąglania, zachowaniem liczby cyfr znaczących wynikającej z danych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(X)</w:t>
            </w:r>
          </w:p>
        </w:tc>
      </w:tr>
      <w:tr>
        <w:trPr>
          <w:trHeight w:val="214" w:hRule="atLeast"/>
        </w:trPr>
        <w:tc>
          <w:tcPr>
            <w:tcW w:w="1666" w:type="dxa"/>
            <w:tcBorders>
              <w:top w:val="single" w:sz="4" w:space="0" w:color="F7CAAC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F7CAAC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04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fal elektromagnetycznych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BFBFBF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 xml:space="preserve">Podsumowanie wiadomości dotyczących drgań i fal </w:t>
            </w:r>
          </w:p>
          <w:p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03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proste zadania dotyczące treści rozdziału </w:t>
            </w:r>
            <w:r>
              <w:rPr>
                <w:i/>
                <w:sz w:val="17"/>
                <w:szCs w:val="17"/>
                <w:lang w:val="pl-PL"/>
              </w:rPr>
              <w:t>Drgania i fale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02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Drgania i fale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01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>
              <w:rPr>
                <w:i/>
                <w:sz w:val="17"/>
                <w:szCs w:val="17"/>
                <w:lang w:val="pl-PL"/>
              </w:rPr>
              <w:t>Drgania i fale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00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tekstów, tabel, diagramów, wykresów, rysunków schematycznych i blokowych oraz innych ilustracji informacje kluczowe dla opisywanego zjawiska bądź problemu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99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projekt: </w:t>
            </w:r>
            <w:r>
              <w:rPr>
                <w:i/>
                <w:sz w:val="17"/>
                <w:szCs w:val="17"/>
                <w:lang w:val="pl-PL"/>
              </w:rPr>
              <w:t xml:space="preserve">Prędkość i częstotliwość dźwięku </w:t>
            </w:r>
            <w:r>
              <w:rPr>
                <w:sz w:val="17"/>
                <w:szCs w:val="17"/>
                <w:lang w:val="pl-PL"/>
              </w:rPr>
              <w:t xml:space="preserve">(lub inny związany z treściami rozdziału </w:t>
            </w:r>
            <w:r>
              <w:rPr>
                <w:i/>
                <w:sz w:val="17"/>
                <w:szCs w:val="17"/>
                <w:lang w:val="pl-PL"/>
              </w:rPr>
              <w:t>Drgania i fale</w:t>
            </w:r>
            <w:r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</w:tr>
      <w:tr>
        <w:trPr>
          <w:trHeight w:val="214" w:hRule="atLeast"/>
        </w:trPr>
        <w:tc>
          <w:tcPr>
            <w:tcW w:w="13993" w:type="dxa"/>
            <w:gridSpan w:val="6"/>
            <w:tcBorders>
              <w:left w:val="single" w:sz="6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spacing w:before="40" w:after="40"/>
              <w:jc w:val="center"/>
              <w:rPr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 xml:space="preserve">V. OPTYKA 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 xml:space="preserve">Światło i jego właściwości </w:t>
            </w:r>
          </w:p>
          <w:p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98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doświadczenia (obserwuje bieg promieni światła i wykazuje, że światło przenosi energię), korzystając z ich opisu i przestrzegając zasad bezpieczeństwa; wskazuje rolę użytych przyrządów oraz czynniki istotne i nieistotne dla wyników doświadczeń; formułuje wnioski na podstawie tych wyników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97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>doświadczalnie demonstruje zjawisko prostoliniowego rozchodzenia się światła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96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 i sztuczne) oraz rodzaje wiązek światła (zbieżna, równoległa, rozbieżna)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95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ilustruje prostoliniowe rozchodzenie się światła w ośrodku jednorodnym; podaje przykłady prostoliniowego biegu promieni światła w otoczeniu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94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rozchodzenie się światła w ośrodku jednorodnym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93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 w próżni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92"/>
              </w:numPr>
              <w:tabs>
                <w:tab w:val="clear" w:pos="708"/>
                <w:tab w:val="left" w:pos="224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 w różnych ośrodkach przezroczystych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91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tekstów, tabel i ilustracji informacje kluczowe dla opisywanego zjawiska bądź problemu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90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dotyczące światła i jego właściwości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89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zadania złożone (lub problemy) dotyczące światła i jego właściwości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(X)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88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światła i jego właściwości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>Zjawiska cienia i półcienia</w:t>
            </w:r>
          </w:p>
          <w:p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4" w:space="0" w:color="F7CAAC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87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doświadczenie (obserwuje powstawanie obszarów cienia i półcienia), korzystając z jego opisu; formułuje wnioski na podstawie wyników doświadczenia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86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mechanizm powstawania cienia i półcienia jako konsekwencje prostoliniowego rozchodzenia się światła w ośrodku jednorodnym; podaje przykłady powstawania cienia i półcienia w otoczeniu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85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przedstawia na schematycznym rysunku powstawanie cienia i półcienia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84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zjawiska zaćmienia Słońca i Księżyca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83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wyjaśnia mechanizm zjawisk zaćmienia Słońca i Księżyca, korzystając ze schematycznego rysunku przedstawiającego te zjawiska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82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 lub ilustracji (w tym rysunków schematycznych lub blokowych) informacje kluczowe dla opisywanego zjawiska bądź problemu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81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dotyczące zjawisk cienia i półcienia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80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złożone zadania (lub problemy) związane z analizą zjawisk cienia i półcienia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(X)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zjawisk cienia i półcienia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>Odbicie i rozpro-szenie światła</w:t>
            </w:r>
          </w:p>
          <w:p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78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doświadczenia (bada zjawiska odbicia i rozproszenia światła), korzystając z ich opisów i przestrzegając zasad bezpieczeństwa; formułuje wnioski na podstawie wyników tych doświadczeń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porównuje zjawiska odbicia i rozproszenia światła; wskazuje przykłady odbicia i rozproszenia światła w otoczeniu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pojęciami: kąta padania, kąta odbicia i normalnej do opisu zjawiska odbicia światła od powierzchni płaskiej; podaje związek między kątem padania a kątem odbicia; podaje i stosuje prawo odbicia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08"/>
                <w:tab w:val="left" w:pos="224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08"/>
                <w:tab w:val="left" w:pos="224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 lub ilustracji (w tym rysunków schematycznych lub blokowych) informacje kluczowe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72"/>
              </w:numPr>
              <w:tabs>
                <w:tab w:val="clear" w:pos="708"/>
                <w:tab w:val="left" w:pos="224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z wykorzystaniem związku między kątami padania i odbicia (prawa odbicia)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F7CAAC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F7CAAC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71"/>
              </w:numPr>
              <w:tabs>
                <w:tab w:val="clear" w:pos="708"/>
                <w:tab w:val="left" w:pos="224" w:leader="none"/>
              </w:tabs>
              <w:spacing w:lineRule="exact" w:line="216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złożone zadania (lub problemy) z wykorzystaniem związku między kątami padania i odbicia (prawa odbicia)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08"/>
                <w:tab w:val="left" w:pos="224" w:leader="none"/>
              </w:tabs>
              <w:spacing w:lineRule="exact" w:line="216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odbicia i rozproszenia światła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Zwierciadła</w:t>
            </w:r>
          </w:p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69"/>
              </w:numPr>
              <w:tabs>
                <w:tab w:val="clear" w:pos="708"/>
                <w:tab w:val="left" w:pos="224" w:leader="none"/>
              </w:tabs>
              <w:spacing w:lineRule="exact" w:line="216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rozróżnia zwierciadła płaskie i sferyczne (wklęsłe i wypukłe); podaje przykłady zwierciadeł w otoczeniu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08"/>
                <w:tab w:val="left" w:pos="224" w:leader="none"/>
              </w:tabs>
              <w:spacing w:lineRule="exact" w:line="216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doświadczenia (obserwacja obrazów wytwarzanych przez zwierciadło płaskie oraz skupianie równoległej wiązki światła za pomocą zwierciadła wklęsłego i wyznaczanie jego ogniska), korzystając z ich opisu i przestrzegając zasad bezpieczeństwa; formułuje wnioski na podstawie wyników tych doświadczeń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08"/>
                <w:tab w:val="left" w:pos="224" w:leader="none"/>
              </w:tabs>
              <w:spacing w:lineRule="exact" w:line="216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analizuje bieg promieni wychodzących z punktu w różnych kierunkach, a następnie odbitych od zwierciadła płaskiego i zwierciadeł sferycznych; opisuje i ilustruje zjawisko odbicia od powierzchni sferycznej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>doświadczalnie demonstruje powstawanie obrazów za pomocą zwierciadeł płaskich</w:t>
            </w:r>
            <w:r>
              <w:rPr>
                <w:sz w:val="17"/>
                <w:szCs w:val="17"/>
                <w:lang w:val="pl-PL"/>
              </w:rPr>
              <w:t>; opisuje przebieg doświadczenia; wskazuje czynniki istotne i nieistotne dla jego przebiegu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i konstruuje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pojęciami osi optycznej i promienia krzywizny zwierciadła; wymienia cechy obra-zów wytworzonych przez zwierciadła (pozorne lub rzeczywiste, proste lub odwrócone, powię-kszone, pomniejszone lub tej samej wielkości co przedmiot)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skupianie się promieni w zwierciadle wklęsłym; posługuje się pojęciami ogniska i ogniskowej zwierciadła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analizuje bieg promieni odbitych od zwierciadła wypukłego; posługuje się pojęciem ogniska pozornego zwierciadła wypukłego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08"/>
                <w:tab w:val="left" w:pos="225" w:leader="none"/>
                <w:tab w:val="left" w:pos="5791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podaje i stosuje związek ogniskowej z promieniem krzywizny (w przybliżeniu </w:t>
            </w:r>
            <w:r>
              <w:rPr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2</m:t>
                  </m:r>
                </m:den>
              </m:f>
              <m:r>
                <w:rPr>
                  <w:rFonts w:ascii="Cambria Math" w:hAnsi="Cambria Math"/>
                </w:rPr>
                <m:t xml:space="preserve">∙</m:t>
              </m:r>
              <m:r>
                <w:rPr>
                  <w:rFonts w:ascii="Cambria Math" w:hAnsi="Cambria Math"/>
                </w:rPr>
                <m:t xml:space="preserve">r</m:t>
              </m:r>
            </m:oMath>
            <w:r>
              <w:rPr>
                <w:sz w:val="17"/>
                <w:szCs w:val="17"/>
                <w:lang w:val="pl-PL"/>
              </w:rPr>
              <w:t>); opisuje i stosuje odwracalność biegu promieni świetlnych (stwierdza np., że promienie ogniska po odbiciu wychodzące od zwierciadła tworzą wiązkę promieni równoległych do osi optycznej)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60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podaje przykłady wykorzystania zwierciadeł w otoczeniu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59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 i ilustracji (w tym rysunków schematycznych lub blokowych) informacje kluczowe dla opisywanego zjawiska bądź problemu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F7CAAC"/>
              <w:left w:val="single" w:sz="4" w:space="0" w:color="BFBFBF"/>
              <w:bottom w:val="single" w:sz="4" w:space="0" w:color="C4C4C4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F7CAAC"/>
              <w:left w:val="single" w:sz="4" w:space="0" w:color="BFBFBF"/>
              <w:bottom w:val="single" w:sz="4" w:space="0" w:color="C9C9C9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08"/>
                <w:tab w:val="left" w:pos="225" w:leader="none"/>
              </w:tabs>
              <w:spacing w:lineRule="exact" w:line="23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dotyczące zwierciadeł (związane z analizą i ilustracją biegu promieni odbitych od zwierciadeł płaskich i sferycznych)</w:t>
            </w:r>
          </w:p>
        </w:tc>
        <w:tc>
          <w:tcPr>
            <w:tcW w:w="854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F7CAAC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C4C4C4"/>
              <w:right w:val="single" w:sz="4" w:space="0" w:color="C9C9C9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57"/>
              </w:numPr>
              <w:tabs>
                <w:tab w:val="clear" w:pos="708"/>
                <w:tab w:val="left" w:pos="225" w:leader="none"/>
              </w:tabs>
              <w:spacing w:lineRule="exact" w:line="23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złożone zadania (lub problemy) dotyczące zwierciadeł (związane z analizą i ilustracją biegu promieni odbitych od zwierciadeł płaskich i sferycznych)</w:t>
            </w:r>
          </w:p>
        </w:tc>
        <w:tc>
          <w:tcPr>
            <w:tcW w:w="854" w:type="dxa"/>
            <w:tcBorders>
              <w:top w:val="single" w:sz="4" w:space="0" w:color="C4C4C4"/>
              <w:left w:val="single" w:sz="4" w:space="0" w:color="C9C9C9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C9C9C9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08"/>
                <w:tab w:val="left" w:pos="225" w:leader="none"/>
              </w:tabs>
              <w:spacing w:lineRule="exact" w:line="23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zwierciadeł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BFBFBF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 xml:space="preserve">Obrazy tworzone przez zwierciadła sferyczne </w:t>
            </w:r>
          </w:p>
          <w:p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(2</w:t>
            </w:r>
            <w:r>
              <w:rPr>
                <w:spacing w:val="-17"/>
                <w:sz w:val="17"/>
                <w:szCs w:val="17"/>
                <w:lang w:val="pl-PL"/>
              </w:rPr>
              <w:t xml:space="preserve"> </w:t>
            </w:r>
            <w:r>
              <w:rPr>
                <w:sz w:val="17"/>
                <w:szCs w:val="17"/>
                <w:lang w:val="pl-PL"/>
              </w:rPr>
              <w:t>godziny)</w:t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08"/>
                <w:tab w:val="left" w:pos="225" w:leader="none"/>
              </w:tabs>
              <w:spacing w:lineRule="exact" w:line="23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doświadczenie (obserwuje obrazy wytwarzane przez zwierciadła sferyczne), korzystając z jego opisu; formułuje wnioski na podstawie wyników tego doświadczenia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08"/>
                <w:tab w:val="left" w:pos="225" w:leader="none"/>
              </w:tabs>
              <w:spacing w:lineRule="exact" w:line="230" w:before="0" w:after="20"/>
              <w:ind w:left="170" w:hanging="170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>doświadczalnie demonstruje powstawanie obrazów za pomocą zwierciadeł sferycznych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08"/>
                <w:tab w:val="left" w:pos="225" w:leader="none"/>
              </w:tabs>
              <w:spacing w:lineRule="exact" w:line="23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i konstruuje bieg promieni ilustrujący powstawanie obrazów rzeczywistych i pozornych wytwarzanych przez zwierciadła sferyczne, znając położenie ogniska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08"/>
                <w:tab w:val="left" w:pos="224" w:leader="none"/>
              </w:tabs>
              <w:spacing w:lineRule="exact" w:line="23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obrazy wytwarzane przez zwierciadła sferyczne (podaje trzy cechy obrazu)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08"/>
                <w:tab w:val="left" w:pos="224" w:leader="none"/>
              </w:tabs>
              <w:spacing w:lineRule="exact" w:line="23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rozróżnia obrazy: rzeczywisty, pozorny, prosty, odwrócony, powiększony, pomniejszony, tej samej wielkości co przedmiot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08"/>
                <w:tab w:val="left" w:pos="224" w:leader="none"/>
              </w:tabs>
              <w:spacing w:lineRule="exact" w:line="230" w:before="0" w:after="20"/>
              <w:ind w:left="170" w:hanging="17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posługuje się pojęciem powiększenia obrazu jako ilorazu wysokości obrazu i wysokości przedmiotu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08"/>
                <w:tab w:val="left" w:pos="224" w:leader="none"/>
              </w:tabs>
              <w:spacing w:lineRule="exact" w:line="23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przewiduje rodzaj i położenie obrazu wytwarzanego przez zwierciadła sferyczne w zależności od odległości przedmiotu od zwierciadła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pojęciem powiększenia obrazu jako ilorazu odległości obrazu od zwierciadła i odległości przedmiotu od zwierciadła; podaje i stosuje wzory na powiększenie obrazu (np.:</w:t>
              <w:br/>
              <w:t xml:space="preserve"> </w:t>
            </w:r>
            <w:r>
              <w:rPr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</m:den>
              </m:f>
            </m:oMath>
            <w:r>
              <w:rPr>
                <w:spacing w:val="40"/>
                <w:sz w:val="17"/>
                <w:szCs w:val="17"/>
                <w:lang w:val="pl-PL"/>
              </w:rPr>
              <w:t xml:space="preserve"> i </w:t>
            </w:r>
            <w:r>
              <w:rPr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y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x</m:t>
                  </m:r>
                </m:den>
              </m:f>
            </m:oMath>
            <w:r>
              <w:rPr>
                <w:sz w:val="17"/>
                <w:szCs w:val="17"/>
                <w:lang w:val="pl-PL"/>
              </w:rPr>
              <w:t xml:space="preserve">); wyjaśnia, kiedy: </w:t>
            </w:r>
            <w:r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t>&lt; 1</w:t>
            </w:r>
            <w:r>
              <w:rPr>
                <w:sz w:val="17"/>
                <w:szCs w:val="17"/>
                <w:lang w:val="pl-PL"/>
              </w:rPr>
              <w:t xml:space="preserve">, </w:t>
            </w:r>
            <w:r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t>= 1</w:t>
            </w:r>
            <w:r>
              <w:rPr>
                <w:sz w:val="17"/>
                <w:szCs w:val="17"/>
                <w:lang w:val="pl-PL"/>
              </w:rPr>
              <w:t xml:space="preserve">, </w:t>
            </w:r>
            <w:r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 i ilustracji (w tym rysunków schematycznych lub blokowych) informacje kluczowe dla opisywanego zjawiska bądź problemu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związane z wytwarzaniem obrazów za pomocą zwierciadeł sferycznych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złożone zadania (lub problemy) związane z wytwarzaniem obrazów za pomocą zwierciadeł sferycznych i wykorzystaniem wzorów na powiększenie obrazu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(X)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08"/>
                <w:tab w:val="left" w:pos="225" w:leader="none"/>
              </w:tabs>
              <w:spacing w:lineRule="exact" w:line="220" w:before="0" w:after="6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wytwarzania obrazów za pomocą zwierciadeł sferycznych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F7CAAC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>Zjawisko załama-nia światła</w:t>
            </w:r>
          </w:p>
          <w:p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4" w:space="0" w:color="F7CAAC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doświadczenia (obserwuje bieg promienia światła po przejściu do innego ośrodka w zależności od kąta padania oraz przejście światła jednobarwnego i światła białego przez pryzmat), korzystając z ich opisu i przestrzegając zasad bezpieczeństwa; wskazuje rolę użytych przyrządów oraz czynniki istotne i nieistotne dla wyników doświadczeń; formułuje wnioski na podstawie tych wyników</w:t>
            </w:r>
          </w:p>
        </w:tc>
        <w:tc>
          <w:tcPr>
            <w:tcW w:w="854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F7CAAC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F7CAAC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>doświadczalnie demonstruje zjawisko załamania światła na granicy ośrodków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podaje i stosuje prawo załamania światła (jakościowo)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>doświadczalnie demonstruje rozszczepienie światła w pryzmacie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światło białe jako mieszaninę barw i ilustruje to rozszczepieniem światła w pryzmacie; podaje inne przykłady rozszczepienia światła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światło lasera jako jednobarwne i ilustruje to brakiem rozszczepienia w pryzmacie; porównuje przejście światła jednobarwnego i światła białego przez pryzmat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wyjaśnia mechanizm rozszczepienia światła w pryzmacie, posługując się związkiem między prędkością światła i długością fali świetlnej w różnych ośrodkach oraz odwołując się do widma światła białego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opisuje zjawisko powstawania tęczy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tekstów, tabel, diagramów, rysunków schematycznych lub blokowych i innych ilustracji informacje kluczowe dla opisywanego zjawiska bądź problemu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dotyczące zjawiska załamania światła i rozszczepienia światła w pryzmacie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08"/>
                <w:tab w:val="left" w:pos="224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złożone zadania (lub problemy) dotyczące zjawiska załamania światła i rozszczepie-nia światła z wykorzystaniem prawa załamania światła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(X)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224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zjawiska załamania światła oraz rozszczepienia światła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tcBorders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Soczewki</w:t>
            </w:r>
          </w:p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rozróżnia rodzaje soczewek (skupiające i rozpraszające); posługuje się pojęciem osi optycznej soczewki; rozróżnia symbole soczewek skupiającej i rozpraszającej; podaje przykłady soczewek w otoczeniu oraz przykłady ich wykorzystania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F7CAAC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F7CAAC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doświadczenia (obserwuje bieg promieni równoległych do osi optycznej przecho-dzących przez soczewki skupiającą i rozpraszającą), korzystając z ich opisu i przestrzegając zasad bezpieczeństwa; formułuje wnioski na podstawie wyników tych doświadczeń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i ilustruje bieg promieni równoległych do osi optycznej przechodzących przez soczewki skupiającą i rozpraszającą, posługując się pojęciami ogniska i ogniskowej; rozróżnia ogniska rzeczywiste i pozorne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wyjaśnia, na czym polega odwracalność biegu promieni świetlnych i stosuje ją (stwierdza np., że promienie wychodzące z ogniska po załamaniu w soczewce skupiającej tworzą wiązkę promieni równoległych do osi optycznej)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z w:val="17"/>
                <w:szCs w:val="17"/>
                <w:lang w:val="pl-PL"/>
              </w:rPr>
              <w:t>posługuje się pojęciem zdolności skupiającej soczewki wraz z jej jednostką (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t>1 D</w:t>
            </w:r>
            <w:r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 i ilustracji (w tym rysunków schematycznych lub blokowych) informacje kluczowe dla opisywanego zjawiska bądź problemu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związane z analizą biegu promieni przechodzących przez soczewki skupiającą i rozpraszającą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złożone zadania (lub problemy) związane z analizą biegu promieni przechodzących przez soczewki skupiającą i rozpraszającą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(X)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soczewek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>Otrzymywanie obrazów za pomocą soczewek</w:t>
            </w:r>
          </w:p>
          <w:p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przeprowadza doświadczenie (obserwuje obrazy wytwarzane przez soczewki skupiające), korzystając z jego opisu; formułuje wnioski na podstawie wyników tego doświadczenia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>doświadczalnie demonstruje wytwarzanie obrazów za pomocą soczewek; otrzymuje za pomocą soczewki skupiającej ostre obrazy przedmiotu na ekranie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bieg promieni ilustrujący powstawanie obrazów rzeczywistych i pozornych wytwarzanych przez soczewki, znając położenie ogniska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rysuje konstrukcyjnie obrazy wytworzone przez soczewki; rozróżnia obrazy: rzeczywiste, pozorne, proste, odwrócone; porównuje wielkość przedmiotu i obrazu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obrazy wytworzone przez soczewki (podaje trzy cechy obrazu); określa rodzaj obrazu w zależności od odległości przedmiotu od soczewki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left="170" w:hanging="170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sz w:val="17"/>
                <w:szCs w:val="17"/>
                <w:lang w:val="pl-PL"/>
              </w:rPr>
              <w:t>posługuje się pojęciem powiększenia obrazu jako ilorazu wysokości obrazu i wysokości przedmiotu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F7CAAC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4" w:space="0" w:color="F7CAAC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pojęciem powiększenia obrazu jako ilorazu odległości obrazu od soczewki i odległości przedmiotu od soczewki; podaje i stosuje wzory na powiększenie obrazu (np.:</w:t>
              <w:br/>
              <w:t xml:space="preserve"> </w:t>
            </w:r>
            <w:r>
              <w:rPr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</m:den>
              </m:f>
            </m:oMath>
            <w:r>
              <w:rPr>
                <w:spacing w:val="40"/>
                <w:sz w:val="17"/>
                <w:szCs w:val="17"/>
                <w:lang w:val="pl-PL"/>
              </w:rPr>
              <w:t xml:space="preserve"> i </w:t>
            </w:r>
            <w:r>
              <w:rPr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y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x</m:t>
                  </m:r>
                </m:den>
              </m:f>
            </m:oMath>
            <w:r>
              <w:rPr>
                <w:sz w:val="17"/>
                <w:szCs w:val="17"/>
                <w:lang w:val="pl-PL"/>
              </w:rPr>
              <w:t xml:space="preserve">) określa, kiedy: </w:t>
            </w:r>
            <w:r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t>&lt; 1</w:t>
            </w:r>
            <w:r>
              <w:rPr>
                <w:sz w:val="17"/>
                <w:szCs w:val="17"/>
                <w:lang w:val="pl-PL"/>
              </w:rPr>
              <w:t xml:space="preserve">, </w:t>
            </w:r>
            <w:r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t>= 1</w:t>
            </w:r>
            <w:r>
              <w:rPr>
                <w:sz w:val="17"/>
                <w:szCs w:val="17"/>
                <w:lang w:val="pl-PL"/>
              </w:rPr>
              <w:t xml:space="preserve">, </w:t>
            </w:r>
            <w:r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  <w:r>
              <w:rPr>
                <w:sz w:val="17"/>
                <w:szCs w:val="17"/>
                <w:lang w:val="pl-PL"/>
              </w:rPr>
              <w:t>; porównuje obrazy w zależności od odległości przedmiotu od soczewki skupiającej i rodzaju soczewki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przewiduje rodzaj i położenie obrazu wytwarzanego przez soczewkę w zależności od odległości przedmiotu od soczewki, znając położenie ogniska, i odwrotnie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przedstawiającego budowę oka; posługuje się pojęciem akomodacji oka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pojęciami krótkowzroczności i dalekowzroczności; opisuje rolę soczewek w korygowaniu tych wad wzroku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z w:val="17"/>
                <w:szCs w:val="17"/>
                <w:lang w:val="pl-PL"/>
              </w:rPr>
              <w:t>posługuje się pojęciami astygmatyzmu i daltonizmu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proste zadania dotyczące wytwarzania obrazów za pomocą soczewek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C4C4C4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rozwiązuje zadania złożone (lub problemy) dotyczące wytwarzania obrazów za pomocą soczewek z wykorzystaniem wzorów na powiększenie obrazu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(X)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C4C4C4"/>
              <w:left w:val="single" w:sz="6" w:space="0" w:color="C4C4C4"/>
              <w:bottom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posługuje się informacjami pochodzącymi z analizy przeczytanych tekstów (w tym popularnona-ukowych) dotyczących otrzymywania obrazów za pomocą soczewek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TableParagraph"/>
              <w:rPr>
                <w:b/>
                <w:b/>
                <w:sz w:val="17"/>
                <w:szCs w:val="17"/>
                <w:lang w:val="pl-PL"/>
              </w:rPr>
            </w:pPr>
            <w:r>
              <w:rPr>
                <w:b/>
                <w:sz w:val="17"/>
                <w:szCs w:val="17"/>
                <w:lang w:val="pl-PL"/>
              </w:rPr>
              <w:t>Podsumowanie wiadomości z optyki</w:t>
            </w:r>
          </w:p>
          <w:p>
            <w:pPr>
              <w:pStyle w:val="TableParagrap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proste zadania dotyczące treści rozdziału </w:t>
            </w:r>
            <w:r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 (problemy), dotyczące treści rozdziału </w:t>
            </w:r>
            <w:r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wyodrębnia z tekstów, tabel, diagramów, rysunków schematycznych lub blokowych i innych ilustracji informacje kluczowe dla opisywanego zjawiska bądź problemu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z w:val="17"/>
                <w:szCs w:val="17"/>
                <w:lang w:val="pl-PL"/>
              </w:rPr>
              <w:t>opisuje zagadkowe zjawiska optyczne występujące w przyrodzie (np.: miraże, błękit nieba, widmo Brockenu, halo)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z w:val="17"/>
                <w:szCs w:val="17"/>
                <w:lang w:val="pl-PL"/>
              </w:rPr>
              <w:t>opisuje wykorzystanie zwierciadeł i soczewek w przyrządach optycznych (mikroskopie, lunecie)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</w:tr>
      <w:tr>
        <w:trPr>
          <w:trHeight w:val="214" w:hRule="atLeast"/>
        </w:trPr>
        <w:tc>
          <w:tcPr>
            <w:tcW w:w="1666" w:type="dxa"/>
            <w:vMerge w:val="continue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DFAF1" w:val="clear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  <w:tc>
          <w:tcPr>
            <w:tcW w:w="8223" w:type="dxa"/>
            <w:tcBorders>
              <w:top w:val="single" w:sz="6" w:space="0" w:color="C4C4C4"/>
              <w:left w:val="single" w:sz="4" w:space="0" w:color="BFBFBF"/>
              <w:bottom w:val="single" w:sz="6" w:space="0" w:color="C4C4C4"/>
            </w:tcBorders>
            <w:shd w:color="auto" w:fill="FDFAF1" w:val="clear"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25" w:leader="none"/>
              </w:tabs>
              <w:spacing w:before="0" w:after="20"/>
              <w:ind w:left="170" w:hanging="170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posługuje się informacjami pochodzącymi z analizy tekstu: </w:t>
            </w:r>
            <w:r>
              <w:rPr>
                <w:i/>
                <w:sz w:val="17"/>
                <w:szCs w:val="17"/>
                <w:lang w:val="pl-PL"/>
              </w:rPr>
              <w:t xml:space="preserve">Zastosowanie prawa odbicia i prawa załamania światła </w:t>
            </w:r>
            <w:r>
              <w:rPr>
                <w:sz w:val="17"/>
                <w:szCs w:val="17"/>
                <w:lang w:val="pl-PL"/>
              </w:rPr>
              <w:t xml:space="preserve">lub innego (związanego z treściami rozdziału </w:t>
            </w:r>
            <w:r>
              <w:rPr>
                <w:i/>
                <w:sz w:val="17"/>
                <w:szCs w:val="17"/>
                <w:lang w:val="pl-PL"/>
              </w:rPr>
              <w:t>Optyka</w:t>
            </w:r>
            <w:r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854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045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</w:r>
          </w:p>
        </w:tc>
        <w:tc>
          <w:tcPr>
            <w:tcW w:w="1100" w:type="dxa"/>
            <w:tcBorders>
              <w:top w:val="single" w:sz="4" w:space="0" w:color="C4C4C4"/>
              <w:bottom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  <w:vAlign w:val="center"/>
          </w:tcPr>
          <w:p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</w:r>
          </w:p>
        </w:tc>
      </w:tr>
    </w:tbl>
    <w:p>
      <w:pPr>
        <w:pStyle w:val="Tretekstu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Tretekstu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Tretekstu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Tretekstu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Tretekstu"/>
        <w:rPr>
          <w:rFonts w:ascii="Times New Roman" w:hAnsi="Times New Roman"/>
          <w:b/>
          <w:b/>
          <w:sz w:val="13"/>
        </w:rPr>
      </w:pPr>
      <w:r>
        <w:rPr>
          <w:rFonts w:ascii="Times New Roman" w:hAnsi="Times New Roman"/>
          <w:b/>
          <w:sz w:val="13"/>
        </w:rPr>
      </w:r>
      <w:bookmarkStart w:id="0" w:name="_GoBack"/>
      <w:bookmarkStart w:id="1" w:name="_GoBack"/>
      <w:bookmarkEnd w:id="1"/>
    </w:p>
    <w:p>
      <w:pPr>
        <w:pStyle w:val="NoParagraphStyle"/>
        <w:numPr>
          <w:ilvl w:val="0"/>
          <w:numId w:val="331"/>
        </w:numPr>
        <w:rPr>
          <w:lang w:bidi="pl-PL"/>
        </w:rPr>
      </w:pPr>
      <w:r>
        <w:rPr>
          <w:lang w:bidi="pl-PL"/>
        </w:rPr>
        <w:t xml:space="preserve">Ocenę dopuszczającą otrzymuje uczeń, który opanował wszystkie wiadomości i umiejętności </w:t>
      </w:r>
      <w:r>
        <w:rPr>
          <w:b/>
          <w:lang w:bidi="pl-PL"/>
        </w:rPr>
        <w:t xml:space="preserve">konieczne na podstawowym </w:t>
      </w:r>
      <w:r>
        <w:rPr>
          <w:lang w:bidi="pl-PL"/>
        </w:rPr>
        <w:t xml:space="preserve">poziomie wymagań. </w:t>
      </w:r>
    </w:p>
    <w:p>
      <w:pPr>
        <w:pStyle w:val="NoParagraphStyle"/>
        <w:numPr>
          <w:ilvl w:val="0"/>
          <w:numId w:val="331"/>
        </w:numPr>
        <w:rPr>
          <w:lang w:bidi="pl-PL"/>
        </w:rPr>
      </w:pPr>
      <w:r>
        <w:rPr>
          <w:lang w:bidi="pl-PL"/>
        </w:rPr>
        <w:t xml:space="preserve">Ocenę dostateczną otrzymuje uczeń, który opanował wszystkie wiadomości i umiejętności  na </w:t>
      </w:r>
      <w:r>
        <w:rPr>
          <w:b/>
          <w:lang w:bidi="pl-PL"/>
        </w:rPr>
        <w:t xml:space="preserve">poziomie podstawowym, </w:t>
      </w:r>
      <w:r>
        <w:rPr>
          <w:lang w:bidi="pl-PL"/>
        </w:rPr>
        <w:t>powinien</w:t>
      </w:r>
      <w:r>
        <w:rPr>
          <w:b/>
          <w:lang w:bidi="pl-PL"/>
        </w:rPr>
        <w:t xml:space="preserve"> </w:t>
      </w:r>
      <w:r>
        <w:rPr>
          <w:lang w:bidi="pl-PL"/>
        </w:rPr>
        <w:t xml:space="preserve">wykonać zadania </w:t>
      </w:r>
      <w:r>
        <w:rPr>
          <w:b/>
          <w:lang w:bidi="pl-PL"/>
        </w:rPr>
        <w:t xml:space="preserve">obowiązkowe </w:t>
      </w:r>
      <w:r>
        <w:rPr>
          <w:lang w:bidi="pl-PL"/>
        </w:rPr>
        <w:t xml:space="preserve">(łatwe – na stopień dostateczny i bardzo łatwe – na stopień dopuszczający). Niektóre czynności ucznia mogą być </w:t>
      </w:r>
      <w:r>
        <w:rPr>
          <w:b/>
          <w:lang w:bidi="pl-PL"/>
        </w:rPr>
        <w:t xml:space="preserve">wspomagane </w:t>
      </w:r>
      <w:r>
        <w:rPr>
          <w:lang w:bidi="pl-PL"/>
        </w:rPr>
        <w:t>przez nauczyciela (np. wykonywanie doświadczeń, rozwiązywanie problemów).</w:t>
      </w:r>
    </w:p>
    <w:p>
      <w:pPr>
        <w:pStyle w:val="NoParagraphStyle"/>
        <w:numPr>
          <w:ilvl w:val="0"/>
          <w:numId w:val="331"/>
        </w:numPr>
        <w:rPr>
          <w:b/>
          <w:b/>
          <w:lang w:bidi="pl-PL"/>
        </w:rPr>
      </w:pPr>
      <w:r>
        <w:rPr>
          <w:lang w:bidi="pl-PL"/>
        </w:rPr>
        <w:t xml:space="preserve">Ocenę dobrą otrzymuje uczeń, który wykonuje czynności </w:t>
      </w:r>
      <w:r>
        <w:rPr>
          <w:b/>
          <w:lang w:bidi="pl-PL"/>
        </w:rPr>
        <w:t xml:space="preserve">samodzielnie </w:t>
      </w:r>
      <w:r>
        <w:rPr>
          <w:lang w:bidi="pl-PL"/>
        </w:rPr>
        <w:t xml:space="preserve">wymagane na poziomach wymagań wyższych niż poziom podstawowy (wymagania rozszerzające), wykonuje zadania umiarkowanie trudne, </w:t>
      </w:r>
      <w:r>
        <w:rPr>
          <w:b/>
          <w:lang w:bidi="pl-PL"/>
        </w:rPr>
        <w:t>rozwiązuje zadania</w:t>
      </w:r>
      <w:r>
        <w:rPr>
          <w:lang w:bidi="pl-PL"/>
        </w:rPr>
        <w:t xml:space="preserve"> (lub problemy) bardziej złożone, </w:t>
      </w:r>
      <w:r>
        <w:rPr>
          <w:b/>
          <w:lang w:bidi="pl-PL"/>
        </w:rPr>
        <w:t xml:space="preserve">ale typowe. </w:t>
      </w:r>
    </w:p>
    <w:p>
      <w:pPr>
        <w:pStyle w:val="NoParagraphStyle"/>
        <w:numPr>
          <w:ilvl w:val="0"/>
          <w:numId w:val="331"/>
        </w:numPr>
        <w:rPr>
          <w:b/>
          <w:b/>
          <w:lang w:bidi="pl-PL"/>
        </w:rPr>
      </w:pPr>
      <w:r>
        <w:rPr>
          <w:lang w:bidi="pl-PL"/>
        </w:rPr>
        <w:t xml:space="preserve">Ocenę bardzo dobrą otrzymuje uczeń, który wykonuje zadania trudne (wymagania dopełniające), </w:t>
      </w:r>
      <w:r>
        <w:rPr>
          <w:b/>
          <w:lang w:bidi="pl-PL"/>
        </w:rPr>
        <w:t>rozwiązuje zadania</w:t>
      </w:r>
      <w:r>
        <w:rPr>
          <w:lang w:bidi="pl-PL"/>
        </w:rPr>
        <w:t xml:space="preserve"> (lub problemy) bardziej złożone, </w:t>
      </w:r>
      <w:r>
        <w:rPr>
          <w:b/>
          <w:lang w:bidi="pl-PL"/>
        </w:rPr>
        <w:t>nietypowe.</w:t>
      </w:r>
    </w:p>
    <w:p>
      <w:pPr>
        <w:pStyle w:val="NoParagraphStyle"/>
        <w:numPr>
          <w:ilvl w:val="0"/>
          <w:numId w:val="331"/>
        </w:numPr>
        <w:rPr/>
      </w:pPr>
      <w:r>
        <w:rPr>
          <w:lang w:bidi="pl-PL"/>
        </w:rPr>
        <w:t xml:space="preserve">Ocenę celującą otrzymuje uczeń, który opanował wszystkie treści z podstawy programowej oraz </w:t>
      </w:r>
      <w:r>
        <w:rPr>
          <w:b/>
          <w:lang w:bidi="pl-PL"/>
        </w:rPr>
        <w:t xml:space="preserve">rozwiązuje zadania o wysokim stopniu trudności. </w:t>
      </w:r>
    </w:p>
    <w:p>
      <w:pPr>
        <w:pStyle w:val="Tretekstu"/>
        <w:rPr>
          <w:rFonts w:ascii="Times New Roman" w:hAnsi="Times New Roman"/>
          <w:b/>
          <w:b/>
          <w:sz w:val="13"/>
        </w:rPr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entury Gothic">
    <w:charset w:val="ee"/>
    <w:family w:val="roman"/>
    <w:pitch w:val="variable"/>
  </w:font>
  <w:font w:name="HelveticaNeueLT Pro 55 Roman">
    <w:charset w:val="ee"/>
    <w:family w:val="roman"/>
    <w:pitch w:val="variable"/>
  </w:font>
  <w:font w:name="Calibri Light">
    <w:charset w:val="ee"/>
    <w:family w:val="roman"/>
    <w:pitch w:val="variable"/>
  </w:font>
  <w:font w:name="HelveticaNeueLT Pro 65 Md">
    <w:charset w:val="ee"/>
    <w:family w:val="roman"/>
    <w:pitch w:val="variable"/>
  </w:font>
  <w:font w:name="Times New Roman">
    <w:charset w:val="ee"/>
    <w:family w:val="roman"/>
    <w:pitch w:val="variable"/>
  </w:font>
  <w:font w:name="Century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ill Sans MT">
    <w:charset w:val="ee"/>
    <w:family w:val="roman"/>
    <w:pitch w:val="variable"/>
  </w:font>
  <w:font w:name="Humanst521EUBold">
    <w:charset w:val="ee"/>
    <w:family w:val="roman"/>
    <w:pitch w:val="variable"/>
  </w:font>
  <w:font w:name="Cambria Math">
    <w:charset w:val="ee"/>
    <w:family w:val="roman"/>
    <w:pitch w:val="variable"/>
  </w:font>
  <w:font w:name="Century Gothic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3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1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2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4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6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7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6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0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6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31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2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4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4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4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4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4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4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4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4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48">
    <w:lvl w:ilvl="0">
      <w:start w:val="1"/>
      <w:numFmt w:val="bullet"/>
      <w:lvlText w:val="•"/>
      <w:lvlJc w:val="left"/>
      <w:pPr>
        <w:ind w:left="225" w:hanging="172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2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2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2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2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2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2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2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2"/>
      </w:pPr>
      <w:rPr>
        <w:rFonts w:ascii="Symbol" w:hAnsi="Symbol" w:cs="Symbol" w:hint="default"/>
        <w:lang w:val="pl-PL" w:eastAsia="pl-PL" w:bidi="pl-PL"/>
      </w:rPr>
    </w:lvl>
  </w:abstractNum>
  <w:abstractNum w:abstractNumId="49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50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51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52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53">
    <w:lvl w:ilvl="0">
      <w:start w:val="1"/>
      <w:numFmt w:val="bullet"/>
      <w:lvlText w:val="•"/>
      <w:lvlJc w:val="left"/>
      <w:pPr>
        <w:ind w:left="4989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5787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6590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7392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8195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8997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9800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10602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1140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5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5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5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5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5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5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6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6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6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6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6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6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6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67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68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69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70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71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72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73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74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7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7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7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7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7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8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8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8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8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84">
    <w:lvl w:ilvl="0">
      <w:numFmt w:val="bullet"/>
      <w:lvlText w:val="•"/>
      <w:lvlJc w:val="left"/>
      <w:pPr>
        <w:ind w:left="201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2811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3614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4416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5219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6021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824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626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429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8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8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8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8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8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9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9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92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9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9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9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9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9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9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065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2948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3831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4713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596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479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9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0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0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0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0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0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0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0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0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08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0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1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1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1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1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1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1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1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17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1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1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2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21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2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2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2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2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2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2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2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2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3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3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3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3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3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3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3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3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3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3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4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4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4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4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4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4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4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4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4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4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50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4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5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5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5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5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5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5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5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58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6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5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60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6780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6942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7105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7268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7431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7593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756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919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6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62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6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6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6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6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6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6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6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6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7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7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7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7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74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75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7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7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7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7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8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8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8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8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8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85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8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8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8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8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9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9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9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9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9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9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96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6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9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9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9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0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0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0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03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04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05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06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07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08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09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10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11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12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1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1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1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300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182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065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2948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3831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4713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596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479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1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1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1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1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2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2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2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2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2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2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2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2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28">
    <w:lvl w:ilvl="0">
      <w:start w:val="1"/>
      <w:numFmt w:val="bullet"/>
      <w:lvlText w:val="•"/>
      <w:lvlJc w:val="left"/>
      <w:pPr>
        <w:ind w:left="224" w:hanging="172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2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2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2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2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2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2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2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2"/>
      </w:pPr>
      <w:rPr>
        <w:rFonts w:ascii="Symbol" w:hAnsi="Symbol" w:cs="Symbol" w:hint="default"/>
        <w:lang w:val="pl-PL" w:eastAsia="pl-PL" w:bidi="pl-PL"/>
      </w:rPr>
    </w:lvl>
  </w:abstractNum>
  <w:abstractNum w:abstractNumId="22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3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3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3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3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3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3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3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3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3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3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4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4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4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4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44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45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46">
    <w:lvl w:ilvl="0">
      <w:start w:val="1"/>
      <w:numFmt w:val="bullet"/>
      <w:lvlText w:val="•"/>
      <w:lvlJc w:val="left"/>
      <w:pPr>
        <w:ind w:left="224" w:hanging="172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2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2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2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2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2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2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2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2"/>
      </w:pPr>
      <w:rPr>
        <w:rFonts w:ascii="Symbol" w:hAnsi="Symbol" w:cs="Symbol" w:hint="default"/>
        <w:lang w:val="pl-PL" w:eastAsia="pl-PL" w:bidi="pl-PL"/>
      </w:rPr>
    </w:lvl>
  </w:abstractNum>
  <w:abstractNum w:abstractNumId="247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48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4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5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5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5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5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5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5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5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5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5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59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6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6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6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6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6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6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6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6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6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6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70">
    <w:lvl w:ilvl="0">
      <w:start w:val="1"/>
      <w:numFmt w:val="bullet"/>
      <w:lvlText w:val="•"/>
      <w:lvlJc w:val="left"/>
      <w:pPr>
        <w:ind w:left="225" w:hanging="172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2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2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2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2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2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2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2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2"/>
      </w:pPr>
      <w:rPr>
        <w:rFonts w:ascii="Symbol" w:hAnsi="Symbol" w:cs="Symbol" w:hint="default"/>
        <w:lang w:val="pl-PL" w:eastAsia="pl-PL" w:bidi="pl-PL"/>
      </w:rPr>
    </w:lvl>
  </w:abstractNum>
  <w:abstractNum w:abstractNumId="271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7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7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7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7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7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7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7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7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8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8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8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8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84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8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8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8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8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8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9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9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9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9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9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9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9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9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9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9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0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0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0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0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0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0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0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0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0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0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10">
    <w:lvl w:ilvl="0">
      <w:start w:val="1"/>
      <w:numFmt w:val="bullet"/>
      <w:lvlText w:val="•"/>
      <w:lvlJc w:val="left"/>
      <w:pPr>
        <w:ind w:left="225" w:hanging="171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31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1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1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1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1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16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17">
    <w:lvl w:ilvl="0">
      <w:start w:val="1"/>
      <w:numFmt w:val="bullet"/>
      <w:lvlText w:val="•"/>
      <w:lvlJc w:val="left"/>
      <w:pPr>
        <w:ind w:left="8108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8907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9710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0512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11315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12117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12920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13722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1452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18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19">
    <w:lvl w:ilvl="0">
      <w:start w:val="1"/>
      <w:numFmt w:val="bullet"/>
      <w:lvlText w:val="•"/>
      <w:lvlJc w:val="left"/>
      <w:pPr>
        <w:ind w:left="223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2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21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22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23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24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25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26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27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28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29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30">
    <w:lvl w:ilvl="0">
      <w:start w:val="1"/>
      <w:numFmt w:val="bullet"/>
      <w:lvlText w:val="•"/>
      <w:lvlJc w:val="left"/>
      <w:pPr>
        <w:ind w:left="224" w:hanging="170"/>
      </w:pPr>
      <w:rPr>
        <w:rFonts w:ascii="Century Gothic" w:hAnsi="Century Gothic" w:cs="Century Gothic" w:hint="default"/>
        <w:sz w:val="17"/>
        <w:szCs w:val="17"/>
        <w:w w:val="97"/>
        <w:rFonts w:cs="Century Gothic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022" w:hanging="17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825" w:hanging="17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27" w:hanging="17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30" w:hanging="17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32" w:hanging="17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035" w:hanging="17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5837" w:hanging="17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6640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31">
    <w:lvl w:ilvl="0">
      <w:start w:val="1"/>
      <w:numFmt w:val="decimal"/>
      <w:lvlText w:val="%1."/>
      <w:lvlJc w:val="left"/>
      <w:pPr>
        <w:ind w:left="301" w:hanging="301"/>
      </w:pPr>
      <w:rPr>
        <w:sz w:val="18"/>
        <w:spacing w:val="-2"/>
        <w:b w:val="false"/>
        <w:szCs w:val="18"/>
        <w:w w:val="98"/>
        <w:rFonts w:eastAsia="Century" w:cs="Century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670" w:hanging="301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3029" w:hanging="30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4388" w:hanging="30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5747" w:hanging="30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7106" w:hanging="30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8465" w:hanging="30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9824" w:hanging="30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11183" w:hanging="301"/>
      </w:pPr>
      <w:rPr>
        <w:rFonts w:ascii="Symbol" w:hAnsi="Symbol" w:cs="Symbol" w:hint="default"/>
        <w:lang w:val="pl-PL" w:eastAsia="pl-PL" w:bidi="pl-PL"/>
      </w:rPr>
    </w:lvl>
  </w:abstractNum>
  <w:abstractNum w:abstractNumId="33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  <w:num w:numId="173">
    <w:abstractNumId w:val="173"/>
  </w:num>
  <w:num w:numId="174">
    <w:abstractNumId w:val="174"/>
  </w:num>
  <w:num w:numId="175">
    <w:abstractNumId w:val="175"/>
  </w:num>
  <w:num w:numId="176">
    <w:abstractNumId w:val="176"/>
  </w:num>
  <w:num w:numId="177">
    <w:abstractNumId w:val="177"/>
  </w:num>
  <w:num w:numId="178">
    <w:abstractNumId w:val="178"/>
  </w:num>
  <w:num w:numId="179">
    <w:abstractNumId w:val="179"/>
  </w:num>
  <w:num w:numId="180">
    <w:abstractNumId w:val="180"/>
  </w:num>
  <w:num w:numId="181">
    <w:abstractNumId w:val="181"/>
  </w:num>
  <w:num w:numId="182">
    <w:abstractNumId w:val="182"/>
  </w:num>
  <w:num w:numId="183">
    <w:abstractNumId w:val="183"/>
  </w:num>
  <w:num w:numId="184">
    <w:abstractNumId w:val="184"/>
  </w:num>
  <w:num w:numId="185">
    <w:abstractNumId w:val="185"/>
  </w:num>
  <w:num w:numId="186">
    <w:abstractNumId w:val="186"/>
  </w:num>
  <w:num w:numId="187">
    <w:abstractNumId w:val="187"/>
  </w:num>
  <w:num w:numId="188">
    <w:abstractNumId w:val="188"/>
  </w:num>
  <w:num w:numId="189">
    <w:abstractNumId w:val="189"/>
  </w:num>
  <w:num w:numId="190">
    <w:abstractNumId w:val="190"/>
  </w:num>
  <w:num w:numId="191">
    <w:abstractNumId w:val="191"/>
  </w:num>
  <w:num w:numId="192">
    <w:abstractNumId w:val="192"/>
  </w:num>
  <w:num w:numId="193">
    <w:abstractNumId w:val="193"/>
  </w:num>
  <w:num w:numId="194">
    <w:abstractNumId w:val="194"/>
  </w:num>
  <w:num w:numId="195">
    <w:abstractNumId w:val="195"/>
  </w:num>
  <w:num w:numId="196">
    <w:abstractNumId w:val="196"/>
  </w:num>
  <w:num w:numId="197">
    <w:abstractNumId w:val="197"/>
  </w:num>
  <w:num w:numId="198">
    <w:abstractNumId w:val="198"/>
  </w:num>
  <w:num w:numId="199">
    <w:abstractNumId w:val="199"/>
  </w:num>
  <w:num w:numId="200">
    <w:abstractNumId w:val="200"/>
  </w:num>
  <w:num w:numId="201">
    <w:abstractNumId w:val="201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  <w:num w:numId="212">
    <w:abstractNumId w:val="212"/>
  </w:num>
  <w:num w:numId="213">
    <w:abstractNumId w:val="213"/>
  </w:num>
  <w:num w:numId="214">
    <w:abstractNumId w:val="214"/>
  </w:num>
  <w:num w:numId="215">
    <w:abstractNumId w:val="215"/>
  </w:num>
  <w:num w:numId="216">
    <w:abstractNumId w:val="216"/>
  </w:num>
  <w:num w:numId="217">
    <w:abstractNumId w:val="217"/>
  </w:num>
  <w:num w:numId="218">
    <w:abstractNumId w:val="218"/>
  </w:num>
  <w:num w:numId="219">
    <w:abstractNumId w:val="219"/>
  </w:num>
  <w:num w:numId="220">
    <w:abstractNumId w:val="220"/>
  </w:num>
  <w:num w:numId="221">
    <w:abstractNumId w:val="221"/>
  </w:num>
  <w:num w:numId="222">
    <w:abstractNumId w:val="222"/>
  </w:num>
  <w:num w:numId="223">
    <w:abstractNumId w:val="223"/>
  </w:num>
  <w:num w:numId="224">
    <w:abstractNumId w:val="224"/>
  </w:num>
  <w:num w:numId="225">
    <w:abstractNumId w:val="225"/>
  </w:num>
  <w:num w:numId="226">
    <w:abstractNumId w:val="226"/>
  </w:num>
  <w:num w:numId="227">
    <w:abstractNumId w:val="227"/>
  </w:num>
  <w:num w:numId="228">
    <w:abstractNumId w:val="228"/>
  </w:num>
  <w:num w:numId="229">
    <w:abstractNumId w:val="229"/>
  </w:num>
  <w:num w:numId="230">
    <w:abstractNumId w:val="230"/>
  </w:num>
  <w:num w:numId="231">
    <w:abstractNumId w:val="231"/>
  </w:num>
  <w:num w:numId="232">
    <w:abstractNumId w:val="232"/>
  </w:num>
  <w:num w:numId="233">
    <w:abstractNumId w:val="233"/>
  </w:num>
  <w:num w:numId="234">
    <w:abstractNumId w:val="234"/>
  </w:num>
  <w:num w:numId="235">
    <w:abstractNumId w:val="235"/>
  </w:num>
  <w:num w:numId="236">
    <w:abstractNumId w:val="236"/>
  </w:num>
  <w:num w:numId="237">
    <w:abstractNumId w:val="237"/>
  </w:num>
  <w:num w:numId="238">
    <w:abstractNumId w:val="238"/>
  </w:num>
  <w:num w:numId="239">
    <w:abstractNumId w:val="239"/>
  </w:num>
  <w:num w:numId="240">
    <w:abstractNumId w:val="240"/>
  </w:num>
  <w:num w:numId="241">
    <w:abstractNumId w:val="241"/>
  </w:num>
  <w:num w:numId="242">
    <w:abstractNumId w:val="242"/>
  </w:num>
  <w:num w:numId="243">
    <w:abstractNumId w:val="243"/>
  </w:num>
  <w:num w:numId="244">
    <w:abstractNumId w:val="244"/>
  </w:num>
  <w:num w:numId="245">
    <w:abstractNumId w:val="245"/>
  </w:num>
  <w:num w:numId="246">
    <w:abstractNumId w:val="246"/>
  </w:num>
  <w:num w:numId="247">
    <w:abstractNumId w:val="247"/>
  </w:num>
  <w:num w:numId="248">
    <w:abstractNumId w:val="248"/>
  </w:num>
  <w:num w:numId="249">
    <w:abstractNumId w:val="249"/>
  </w:num>
  <w:num w:numId="250">
    <w:abstractNumId w:val="250"/>
  </w:num>
  <w:num w:numId="251">
    <w:abstractNumId w:val="251"/>
  </w:num>
  <w:num w:numId="252">
    <w:abstractNumId w:val="252"/>
  </w:num>
  <w:num w:numId="253">
    <w:abstractNumId w:val="253"/>
  </w:num>
  <w:num w:numId="254">
    <w:abstractNumId w:val="254"/>
  </w:num>
  <w:num w:numId="255">
    <w:abstractNumId w:val="255"/>
  </w:num>
  <w:num w:numId="256">
    <w:abstractNumId w:val="256"/>
  </w:num>
  <w:num w:numId="257">
    <w:abstractNumId w:val="257"/>
  </w:num>
  <w:num w:numId="258">
    <w:abstractNumId w:val="258"/>
  </w:num>
  <w:num w:numId="259">
    <w:abstractNumId w:val="259"/>
  </w:num>
  <w:num w:numId="260">
    <w:abstractNumId w:val="260"/>
  </w:num>
  <w:num w:numId="261">
    <w:abstractNumId w:val="261"/>
  </w:num>
  <w:num w:numId="262">
    <w:abstractNumId w:val="262"/>
  </w:num>
  <w:num w:numId="263">
    <w:abstractNumId w:val="263"/>
  </w:num>
  <w:num w:numId="264">
    <w:abstractNumId w:val="264"/>
  </w:num>
  <w:num w:numId="265">
    <w:abstractNumId w:val="265"/>
  </w:num>
  <w:num w:numId="266">
    <w:abstractNumId w:val="266"/>
  </w:num>
  <w:num w:numId="267">
    <w:abstractNumId w:val="267"/>
  </w:num>
  <w:num w:numId="268">
    <w:abstractNumId w:val="268"/>
  </w:num>
  <w:num w:numId="269">
    <w:abstractNumId w:val="269"/>
  </w:num>
  <w:num w:numId="270">
    <w:abstractNumId w:val="270"/>
  </w:num>
  <w:num w:numId="271">
    <w:abstractNumId w:val="271"/>
  </w:num>
  <w:num w:numId="272">
    <w:abstractNumId w:val="272"/>
  </w:num>
  <w:num w:numId="273">
    <w:abstractNumId w:val="273"/>
  </w:num>
  <w:num w:numId="274">
    <w:abstractNumId w:val="274"/>
  </w:num>
  <w:num w:numId="275">
    <w:abstractNumId w:val="275"/>
  </w:num>
  <w:num w:numId="276">
    <w:abstractNumId w:val="276"/>
  </w:num>
  <w:num w:numId="277">
    <w:abstractNumId w:val="277"/>
  </w:num>
  <w:num w:numId="278">
    <w:abstractNumId w:val="278"/>
  </w:num>
  <w:num w:numId="279">
    <w:abstractNumId w:val="279"/>
  </w:num>
  <w:num w:numId="280">
    <w:abstractNumId w:val="280"/>
  </w:num>
  <w:num w:numId="281">
    <w:abstractNumId w:val="281"/>
  </w:num>
  <w:num w:numId="282">
    <w:abstractNumId w:val="282"/>
  </w:num>
  <w:num w:numId="283">
    <w:abstractNumId w:val="283"/>
  </w:num>
  <w:num w:numId="284">
    <w:abstractNumId w:val="284"/>
  </w:num>
  <w:num w:numId="285">
    <w:abstractNumId w:val="285"/>
  </w:num>
  <w:num w:numId="286">
    <w:abstractNumId w:val="286"/>
  </w:num>
  <w:num w:numId="287">
    <w:abstractNumId w:val="287"/>
  </w:num>
  <w:num w:numId="288">
    <w:abstractNumId w:val="288"/>
  </w:num>
  <w:num w:numId="289">
    <w:abstractNumId w:val="289"/>
  </w:num>
  <w:num w:numId="290">
    <w:abstractNumId w:val="290"/>
  </w:num>
  <w:num w:numId="291">
    <w:abstractNumId w:val="291"/>
  </w:num>
  <w:num w:numId="292">
    <w:abstractNumId w:val="292"/>
  </w:num>
  <w:num w:numId="293">
    <w:abstractNumId w:val="293"/>
  </w:num>
  <w:num w:numId="294">
    <w:abstractNumId w:val="294"/>
  </w:num>
  <w:num w:numId="295">
    <w:abstractNumId w:val="295"/>
  </w:num>
  <w:num w:numId="296">
    <w:abstractNumId w:val="296"/>
  </w:num>
  <w:num w:numId="297">
    <w:abstractNumId w:val="297"/>
  </w:num>
  <w:num w:numId="298">
    <w:abstractNumId w:val="298"/>
  </w:num>
  <w:num w:numId="299">
    <w:abstractNumId w:val="299"/>
  </w:num>
  <w:num w:numId="300">
    <w:abstractNumId w:val="300"/>
  </w:num>
  <w:num w:numId="301">
    <w:abstractNumId w:val="301"/>
  </w:num>
  <w:num w:numId="302">
    <w:abstractNumId w:val="302"/>
  </w:num>
  <w:num w:numId="303">
    <w:abstractNumId w:val="303"/>
  </w:num>
  <w:num w:numId="304">
    <w:abstractNumId w:val="304"/>
  </w:num>
  <w:num w:numId="305">
    <w:abstractNumId w:val="305"/>
  </w:num>
  <w:num w:numId="306">
    <w:abstractNumId w:val="306"/>
  </w:num>
  <w:num w:numId="307">
    <w:abstractNumId w:val="307"/>
  </w:num>
  <w:num w:numId="308">
    <w:abstractNumId w:val="308"/>
  </w:num>
  <w:num w:numId="309">
    <w:abstractNumId w:val="309"/>
  </w:num>
  <w:num w:numId="310">
    <w:abstractNumId w:val="310"/>
  </w:num>
  <w:num w:numId="311">
    <w:abstractNumId w:val="311"/>
  </w:num>
  <w:num w:numId="312">
    <w:abstractNumId w:val="312"/>
  </w:num>
  <w:num w:numId="313">
    <w:abstractNumId w:val="313"/>
  </w:num>
  <w:num w:numId="314">
    <w:abstractNumId w:val="314"/>
  </w:num>
  <w:num w:numId="315">
    <w:abstractNumId w:val="315"/>
  </w:num>
  <w:num w:numId="316">
    <w:abstractNumId w:val="316"/>
  </w:num>
  <w:num w:numId="317">
    <w:abstractNumId w:val="317"/>
  </w:num>
  <w:num w:numId="318">
    <w:abstractNumId w:val="318"/>
  </w:num>
  <w:num w:numId="319">
    <w:abstractNumId w:val="319"/>
  </w:num>
  <w:num w:numId="320">
    <w:abstractNumId w:val="320"/>
  </w:num>
  <w:num w:numId="321">
    <w:abstractNumId w:val="321"/>
  </w:num>
  <w:num w:numId="322">
    <w:abstractNumId w:val="322"/>
  </w:num>
  <w:num w:numId="323">
    <w:abstractNumId w:val="323"/>
  </w:num>
  <w:num w:numId="324">
    <w:abstractNumId w:val="324"/>
  </w:num>
  <w:num w:numId="325">
    <w:abstractNumId w:val="325"/>
  </w:num>
  <w:num w:numId="326">
    <w:abstractNumId w:val="326"/>
  </w:num>
  <w:num w:numId="327">
    <w:abstractNumId w:val="327"/>
  </w:num>
  <w:num w:numId="328">
    <w:abstractNumId w:val="328"/>
  </w:num>
  <w:num w:numId="329">
    <w:abstractNumId w:val="329"/>
  </w:num>
  <w:num w:numId="330">
    <w:abstractNumId w:val="330"/>
  </w:num>
  <w:num w:numId="331">
    <w:abstractNumId w:val="331"/>
  </w:num>
  <w:num w:numId="332">
    <w:abstractNumId w:val="33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6b4c60"/>
    <w:pPr>
      <w:widowControl w:val="false"/>
      <w:bidi w:val="0"/>
      <w:spacing w:lineRule="auto" w:line="240" w:before="0" w:after="0"/>
      <w:jc w:val="left"/>
    </w:pPr>
    <w:rPr>
      <w:rFonts w:ascii="Century Gothic" w:hAnsi="Century Gothic" w:eastAsia="Century Gothic" w:cs="Century Gothic"/>
      <w:color w:val="auto"/>
      <w:kern w:val="0"/>
      <w:sz w:val="22"/>
      <w:szCs w:val="22"/>
      <w:lang w:eastAsia="pl-PL" w:bidi="pl-PL" w:val="pl-PL"/>
    </w:rPr>
  </w:style>
  <w:style w:type="paragraph" w:styleId="Nagwek1">
    <w:name w:val="Heading 1"/>
    <w:basedOn w:val="Normal"/>
    <w:link w:val="Nagwek1Znak"/>
    <w:uiPriority w:val="1"/>
    <w:qFormat/>
    <w:rsid w:val="006b4c60"/>
    <w:pPr>
      <w:spacing w:before="100" w:after="0"/>
      <w:ind w:left="2008" w:hanging="0"/>
      <w:outlineLvl w:val="0"/>
    </w:pPr>
    <w:rPr>
      <w:rFonts w:ascii="HelveticaNeueLT Pro 55 Roman" w:hAnsi="HelveticaNeueLT Pro 55 Roman" w:eastAsia="HelveticaNeueLT Pro 55 Roman" w:cs="HelveticaNeueLT Pro 55 Roman"/>
      <w:sz w:val="48"/>
      <w:szCs w:val="48"/>
    </w:rPr>
  </w:style>
  <w:style w:type="paragraph" w:styleId="Nagwek2">
    <w:name w:val="Heading 2"/>
    <w:basedOn w:val="Normal"/>
    <w:next w:val="Normal"/>
    <w:link w:val="Nagwek2Znak"/>
    <w:uiPriority w:val="1"/>
    <w:unhideWhenUsed/>
    <w:qFormat/>
    <w:rsid w:val="000500ba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Nagwek3">
    <w:name w:val="Heading 3"/>
    <w:basedOn w:val="Normal"/>
    <w:link w:val="Nagwek3Znak"/>
    <w:uiPriority w:val="1"/>
    <w:qFormat/>
    <w:rsid w:val="006b4c60"/>
    <w:pPr>
      <w:spacing w:before="105" w:after="0"/>
      <w:ind w:left="663" w:hanging="0"/>
      <w:outlineLvl w:val="2"/>
    </w:pPr>
    <w:rPr>
      <w:rFonts w:ascii="Calibri" w:hAnsi="Calibri" w:eastAsia="Calibri" w:cs="Calibri"/>
      <w:b/>
      <w:bCs/>
      <w:sz w:val="28"/>
      <w:szCs w:val="28"/>
    </w:rPr>
  </w:style>
  <w:style w:type="paragraph" w:styleId="Nagwek4">
    <w:name w:val="Heading 4"/>
    <w:basedOn w:val="Normal"/>
    <w:link w:val="Nagwek4Znak"/>
    <w:uiPriority w:val="1"/>
    <w:qFormat/>
    <w:rsid w:val="006b4c60"/>
    <w:pPr>
      <w:ind w:left="850" w:hanging="0"/>
      <w:outlineLvl w:val="3"/>
    </w:pPr>
    <w:rPr>
      <w:rFonts w:ascii="Calibri" w:hAnsi="Calibri" w:eastAsia="Calibri" w:cs="Calibri"/>
      <w:b/>
      <w:bCs/>
      <w:sz w:val="23"/>
      <w:szCs w:val="23"/>
    </w:rPr>
  </w:style>
  <w:style w:type="paragraph" w:styleId="Nagwek5">
    <w:name w:val="Heading 5"/>
    <w:basedOn w:val="Normal"/>
    <w:link w:val="Nagwek5Znak"/>
    <w:uiPriority w:val="1"/>
    <w:qFormat/>
    <w:rsid w:val="006b4c60"/>
    <w:pPr>
      <w:spacing w:before="147" w:after="0"/>
      <w:outlineLvl w:val="4"/>
    </w:pPr>
    <w:rPr>
      <w:sz w:val="23"/>
      <w:szCs w:val="23"/>
    </w:rPr>
  </w:style>
  <w:style w:type="paragraph" w:styleId="Nagwek6">
    <w:name w:val="Heading 6"/>
    <w:basedOn w:val="Normal"/>
    <w:link w:val="Nagwek6Znak"/>
    <w:uiPriority w:val="1"/>
    <w:qFormat/>
    <w:rsid w:val="006b4c60"/>
    <w:pPr>
      <w:spacing w:before="132" w:after="0"/>
      <w:ind w:left="396" w:hanging="0"/>
      <w:outlineLvl w:val="5"/>
    </w:pPr>
    <w:rPr>
      <w:rFonts w:ascii="Calibri" w:hAnsi="Calibri" w:eastAsia="Calibri" w:cs="Calibri"/>
      <w:b/>
      <w:bCs/>
      <w:i/>
      <w:sz w:val="21"/>
      <w:szCs w:val="21"/>
    </w:rPr>
  </w:style>
  <w:style w:type="paragraph" w:styleId="Nagwek7">
    <w:name w:val="Heading 7"/>
    <w:basedOn w:val="Normal"/>
    <w:link w:val="Nagwek7Znak"/>
    <w:uiPriority w:val="1"/>
    <w:qFormat/>
    <w:rsid w:val="006b4c60"/>
    <w:pPr>
      <w:ind w:left="2976" w:hanging="0"/>
      <w:outlineLvl w:val="6"/>
    </w:pPr>
    <w:rPr>
      <w:rFonts w:ascii="HelveticaNeueLT Pro 65 Md" w:hAnsi="HelveticaNeueLT Pro 65 Md" w:eastAsia="HelveticaNeueLT Pro 65 Md" w:cs="HelveticaNeueLT Pro 65 Md"/>
      <w:sz w:val="20"/>
      <w:szCs w:val="20"/>
    </w:rPr>
  </w:style>
  <w:style w:type="paragraph" w:styleId="Nagwek8">
    <w:name w:val="Heading 8"/>
    <w:basedOn w:val="Normal"/>
    <w:link w:val="Nagwek8Znak"/>
    <w:uiPriority w:val="1"/>
    <w:qFormat/>
    <w:rsid w:val="006b4c60"/>
    <w:pPr>
      <w:spacing w:lineRule="exact" w:line="221"/>
      <w:ind w:left="623" w:hanging="227"/>
      <w:outlineLvl w:val="7"/>
    </w:pPr>
    <w:rPr>
      <w:b/>
      <w:bCs/>
      <w:i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0500ba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PunktoryZnak" w:customStyle="1">
    <w:name w:val="punktory Znak"/>
    <w:basedOn w:val="AkapitzlistZnak"/>
    <w:link w:val="punktory"/>
    <w:qFormat/>
    <w:rsid w:val="00e81c5c"/>
    <w:rPr>
      <w:rFonts w:ascii="Times New Roman" w:hAnsi="Times New Roman" w:eastAsia="Century Gothic" w:cs="Times New Roman"/>
      <w:bCs/>
      <w:sz w:val="24"/>
      <w:szCs w:val="24"/>
      <w:lang w:eastAsia="pl-PL" w:bidi="pl-PL"/>
    </w:rPr>
  </w:style>
  <w:style w:type="character" w:styleId="Sty10Znak" w:customStyle="1">
    <w:name w:val="Sty10 Znak"/>
    <w:basedOn w:val="PunktoryZnak"/>
    <w:link w:val="Sty10"/>
    <w:qFormat/>
    <w:rsid w:val="00e81c5c"/>
    <w:rPr>
      <w:rFonts w:ascii="Times New Roman" w:hAnsi="Times New Roman" w:eastAsia="Century Gothic" w:cs="Times New Roman"/>
      <w:bCs/>
      <w:sz w:val="24"/>
      <w:szCs w:val="24"/>
      <w:lang w:eastAsia="pl-PL" w:bidi="pl-PL"/>
    </w:rPr>
  </w:style>
  <w:style w:type="character" w:styleId="AkapitzlistZnak" w:customStyle="1">
    <w:name w:val="Akapit z listą Znak"/>
    <w:basedOn w:val="DefaultParagraphFont"/>
    <w:link w:val="Akapitzlist"/>
    <w:uiPriority w:val="1"/>
    <w:qFormat/>
    <w:rsid w:val="00474684"/>
    <w:rPr/>
  </w:style>
  <w:style w:type="character" w:styleId="Nagwek1Znak" w:customStyle="1">
    <w:name w:val="Nagłówek 1 Znak"/>
    <w:basedOn w:val="DefaultParagraphFont"/>
    <w:link w:val="Nagwek1"/>
    <w:uiPriority w:val="1"/>
    <w:qFormat/>
    <w:rsid w:val="006b4c60"/>
    <w:rPr>
      <w:rFonts w:ascii="HelveticaNeueLT Pro 55 Roman" w:hAnsi="HelveticaNeueLT Pro 55 Roman" w:eastAsia="HelveticaNeueLT Pro 55 Roman" w:cs="HelveticaNeueLT Pro 55 Roman"/>
      <w:sz w:val="48"/>
      <w:szCs w:val="48"/>
      <w:lang w:eastAsia="pl-PL" w:bidi="pl-PL"/>
    </w:rPr>
  </w:style>
  <w:style w:type="character" w:styleId="Nagwek3Znak" w:customStyle="1">
    <w:name w:val="Nagłówek 3 Znak"/>
    <w:basedOn w:val="DefaultParagraphFont"/>
    <w:link w:val="Nagwek3"/>
    <w:uiPriority w:val="1"/>
    <w:qFormat/>
    <w:rsid w:val="006b4c60"/>
    <w:rPr>
      <w:rFonts w:ascii="Calibri" w:hAnsi="Calibri" w:eastAsia="Calibri" w:cs="Calibri"/>
      <w:b/>
      <w:bCs/>
      <w:sz w:val="28"/>
      <w:szCs w:val="28"/>
      <w:lang w:eastAsia="pl-PL" w:bidi="pl-PL"/>
    </w:rPr>
  </w:style>
  <w:style w:type="character" w:styleId="Nagwek4Znak" w:customStyle="1">
    <w:name w:val="Nagłówek 4 Znak"/>
    <w:basedOn w:val="DefaultParagraphFont"/>
    <w:link w:val="Nagwek4"/>
    <w:uiPriority w:val="1"/>
    <w:qFormat/>
    <w:rsid w:val="006b4c60"/>
    <w:rPr>
      <w:rFonts w:ascii="Calibri" w:hAnsi="Calibri" w:eastAsia="Calibri" w:cs="Calibri"/>
      <w:b/>
      <w:bCs/>
      <w:sz w:val="23"/>
      <w:szCs w:val="23"/>
      <w:lang w:eastAsia="pl-PL" w:bidi="pl-PL"/>
    </w:rPr>
  </w:style>
  <w:style w:type="character" w:styleId="Nagwek5Znak" w:customStyle="1">
    <w:name w:val="Nagłówek 5 Znak"/>
    <w:basedOn w:val="DefaultParagraphFont"/>
    <w:link w:val="Nagwek5"/>
    <w:uiPriority w:val="1"/>
    <w:qFormat/>
    <w:rsid w:val="006b4c60"/>
    <w:rPr>
      <w:rFonts w:ascii="Century Gothic" w:hAnsi="Century Gothic" w:eastAsia="Century Gothic" w:cs="Century Gothic"/>
      <w:sz w:val="23"/>
      <w:szCs w:val="23"/>
      <w:lang w:eastAsia="pl-PL" w:bidi="pl-PL"/>
    </w:rPr>
  </w:style>
  <w:style w:type="character" w:styleId="Nagwek6Znak" w:customStyle="1">
    <w:name w:val="Nagłówek 6 Znak"/>
    <w:basedOn w:val="DefaultParagraphFont"/>
    <w:link w:val="Nagwek6"/>
    <w:uiPriority w:val="1"/>
    <w:qFormat/>
    <w:rsid w:val="006b4c60"/>
    <w:rPr>
      <w:rFonts w:ascii="Calibri" w:hAnsi="Calibri" w:eastAsia="Calibri" w:cs="Calibri"/>
      <w:b/>
      <w:bCs/>
      <w:i/>
      <w:sz w:val="21"/>
      <w:szCs w:val="21"/>
      <w:lang w:eastAsia="pl-PL" w:bidi="pl-PL"/>
    </w:rPr>
  </w:style>
  <w:style w:type="character" w:styleId="Nagwek7Znak" w:customStyle="1">
    <w:name w:val="Nagłówek 7 Znak"/>
    <w:basedOn w:val="DefaultParagraphFont"/>
    <w:link w:val="Nagwek7"/>
    <w:uiPriority w:val="1"/>
    <w:qFormat/>
    <w:rsid w:val="006b4c60"/>
    <w:rPr>
      <w:rFonts w:ascii="HelveticaNeueLT Pro 65 Md" w:hAnsi="HelveticaNeueLT Pro 65 Md" w:eastAsia="HelveticaNeueLT Pro 65 Md" w:cs="HelveticaNeueLT Pro 65 Md"/>
      <w:sz w:val="20"/>
      <w:szCs w:val="20"/>
      <w:lang w:eastAsia="pl-PL" w:bidi="pl-PL"/>
    </w:rPr>
  </w:style>
  <w:style w:type="character" w:styleId="Nagwek8Znak" w:customStyle="1">
    <w:name w:val="Nagłówek 8 Znak"/>
    <w:basedOn w:val="DefaultParagraphFont"/>
    <w:link w:val="Nagwek8"/>
    <w:uiPriority w:val="1"/>
    <w:qFormat/>
    <w:rsid w:val="006b4c60"/>
    <w:rPr>
      <w:rFonts w:ascii="Century Gothic" w:hAnsi="Century Gothic" w:eastAsia="Century Gothic" w:cs="Century Gothic"/>
      <w:b/>
      <w:bCs/>
      <w:i/>
      <w:sz w:val="18"/>
      <w:szCs w:val="18"/>
      <w:lang w:eastAsia="pl-PL" w:bidi="pl-PL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6b4c60"/>
    <w:rPr>
      <w:rFonts w:ascii="Century" w:hAnsi="Century" w:eastAsia="Century" w:cs="Century"/>
      <w:sz w:val="18"/>
      <w:szCs w:val="18"/>
      <w:lang w:eastAsia="pl-PL" w:bidi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e5f23"/>
    <w:rPr>
      <w:rFonts w:ascii="Century Gothic" w:hAnsi="Century Gothic" w:eastAsia="Century Gothic" w:cs="Century Gothic"/>
      <w:lang w:eastAsia="pl-PL" w:bidi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e5f23"/>
    <w:rPr>
      <w:rFonts w:ascii="Century Gothic" w:hAnsi="Century Gothic" w:eastAsia="Century Gothic" w:cs="Century Gothic"/>
      <w:lang w:eastAsia="pl-PL" w:bidi="pl-PL"/>
    </w:rPr>
  </w:style>
  <w:style w:type="character" w:styleId="StopkaScZnak" w:customStyle="1">
    <w:name w:val="stopka_Sc Znak"/>
    <w:basedOn w:val="StopkaZnak"/>
    <w:link w:val="stopkaSc"/>
    <w:qFormat/>
    <w:rsid w:val="000427eb"/>
    <w:rPr>
      <w:rFonts w:ascii="Century Gothic" w:hAnsi="Century Gothic" w:eastAsia="Century Gothic" w:cs="Times New Roman"/>
      <w:sz w:val="16"/>
      <w:szCs w:val="16"/>
      <w:lang w:val="en-US" w:eastAsia="pl-PL" w:bidi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f4f8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f4f8e"/>
    <w:rPr>
      <w:rFonts w:ascii="Century Gothic" w:hAnsi="Century Gothic" w:eastAsia="Century Gothic" w:cs="Century Gothic"/>
      <w:sz w:val="20"/>
      <w:szCs w:val="20"/>
      <w:lang w:eastAsia="pl-PL" w:bidi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f4f8e"/>
    <w:rPr>
      <w:rFonts w:ascii="Century Gothic" w:hAnsi="Century Gothic" w:eastAsia="Century Gothic" w:cs="Century Gothic"/>
      <w:b/>
      <w:bCs/>
      <w:sz w:val="20"/>
      <w:szCs w:val="20"/>
      <w:lang w:eastAsia="pl-PL" w:bidi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f4f8e"/>
    <w:rPr>
      <w:rFonts w:ascii="Segoe UI" w:hAnsi="Segoe UI" w:eastAsia="Century Gothic" w:cs="Segoe UI"/>
      <w:sz w:val="18"/>
      <w:szCs w:val="18"/>
      <w:lang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6b4c60"/>
    <w:pPr/>
    <w:rPr>
      <w:rFonts w:ascii="Century" w:hAnsi="Century" w:eastAsia="Century" w:cs="Century"/>
      <w:sz w:val="18"/>
      <w:szCs w:val="18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unktory" w:customStyle="1">
    <w:name w:val="punktory"/>
    <w:basedOn w:val="ListParagraph"/>
    <w:link w:val="punktoryZnak"/>
    <w:qFormat/>
    <w:rsid w:val="00e81c5c"/>
    <w:pPr>
      <w:ind w:left="714" w:hanging="357"/>
    </w:pPr>
    <w:rPr>
      <w:rFonts w:ascii="Times New Roman" w:hAnsi="Times New Roman" w:cs="Times New Roman"/>
      <w:bCs/>
      <w:sz w:val="24"/>
      <w:szCs w:val="24"/>
    </w:rPr>
  </w:style>
  <w:style w:type="paragraph" w:styleId="ListParagraph">
    <w:name w:val="List Paragraph"/>
    <w:basedOn w:val="Normal"/>
    <w:link w:val="AkapitzlistZnak"/>
    <w:uiPriority w:val="1"/>
    <w:qFormat/>
    <w:rsid w:val="00474684"/>
    <w:pPr>
      <w:spacing w:before="0" w:after="0"/>
      <w:ind w:left="720" w:hanging="0"/>
      <w:contextualSpacing/>
    </w:pPr>
    <w:rPr/>
  </w:style>
  <w:style w:type="paragraph" w:styleId="Sty10" w:customStyle="1">
    <w:name w:val="Sty10"/>
    <w:basedOn w:val="Punktory"/>
    <w:link w:val="Sty10Znak"/>
    <w:qFormat/>
    <w:rsid w:val="00e81c5c"/>
    <w:pPr/>
    <w:rPr/>
  </w:style>
  <w:style w:type="paragraph" w:styleId="Spistreci1">
    <w:name w:val="TOC 1"/>
    <w:basedOn w:val="Normal"/>
    <w:uiPriority w:val="1"/>
    <w:qFormat/>
    <w:rsid w:val="006b4c60"/>
    <w:pPr>
      <w:spacing w:before="122" w:after="0"/>
      <w:ind w:left="850" w:hanging="0"/>
    </w:pPr>
    <w:rPr>
      <w:rFonts w:ascii="Calibri" w:hAnsi="Calibri" w:eastAsia="Calibri" w:cs="Calibri"/>
      <w:b/>
      <w:bCs/>
      <w:sz w:val="23"/>
      <w:szCs w:val="23"/>
    </w:rPr>
  </w:style>
  <w:style w:type="paragraph" w:styleId="Spistreci2">
    <w:name w:val="TOC 2"/>
    <w:basedOn w:val="Normal"/>
    <w:uiPriority w:val="1"/>
    <w:qFormat/>
    <w:rsid w:val="006b4c60"/>
    <w:pPr>
      <w:spacing w:before="122" w:after="0"/>
      <w:ind w:left="850" w:hanging="0"/>
    </w:pPr>
    <w:rPr>
      <w:rFonts w:ascii="Gill Sans MT" w:hAnsi="Gill Sans MT" w:eastAsia="Gill Sans MT" w:cs="Gill Sans MT"/>
      <w:b/>
      <w:bCs/>
      <w:i/>
    </w:rPr>
  </w:style>
  <w:style w:type="paragraph" w:styleId="Spistreci3">
    <w:name w:val="TOC 3"/>
    <w:basedOn w:val="Normal"/>
    <w:uiPriority w:val="1"/>
    <w:qFormat/>
    <w:rsid w:val="006b4c60"/>
    <w:pPr>
      <w:spacing w:before="48" w:after="0"/>
      <w:ind w:left="1247" w:hanging="0"/>
    </w:pPr>
    <w:rPr>
      <w:rFonts w:ascii="Century" w:hAnsi="Century" w:eastAsia="Century" w:cs="Century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6b4c60"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e5f23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7e5f23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StopkaSc" w:customStyle="1">
    <w:name w:val="stopka_Sc"/>
    <w:basedOn w:val="Stopka"/>
    <w:link w:val="stopkaScZnak"/>
    <w:qFormat/>
    <w:rsid w:val="000427eb"/>
    <w:pPr>
      <w:widowControl/>
      <w:tabs>
        <w:tab w:val="clear" w:pos="4513"/>
        <w:tab w:val="clear" w:pos="9026"/>
        <w:tab w:val="center" w:pos="4536" w:leader="none"/>
        <w:tab w:val="right" w:pos="9072" w:leader="none"/>
      </w:tabs>
    </w:pPr>
    <w:rPr>
      <w:rFonts w:cs="Times New Roman"/>
      <w:sz w:val="16"/>
      <w:szCs w:val="16"/>
      <w:lang w:val="en-U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f4f8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4f8e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4f8e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874360"/>
    <w:pPr>
      <w:widowControl/>
      <w:bidi w:val="0"/>
      <w:spacing w:lineRule="auto" w:line="240" w:before="0" w:after="0"/>
      <w:jc w:val="left"/>
    </w:pPr>
    <w:rPr>
      <w:rFonts w:ascii="Century Gothic" w:hAnsi="Century Gothic" w:eastAsia="Century Gothic" w:cs="Century Gothic"/>
      <w:color w:val="auto"/>
      <w:kern w:val="0"/>
      <w:sz w:val="22"/>
      <w:szCs w:val="22"/>
      <w:lang w:eastAsia="pl-PL" w:bidi="pl-PL" w:val="pl-PL"/>
    </w:rPr>
  </w:style>
  <w:style w:type="paragraph" w:styleId="NoParagraphStyle" w:customStyle="1">
    <w:name w:val="[No Paragraph Style]"/>
    <w:qFormat/>
    <w:rsid w:val="00287290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Humanst521EUBold" w:hAnsi="Humanst521EUBold" w:eastAsia="Times New Roman" w:cs="Times New Roman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b4c60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900E-10ED-4BDD-98BC-BF4E62C7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LibreOffice/6.4.0.3$Windows_X86_64 LibreOffice_project/b0a288ab3d2d4774cb44b62f04d5d28733ac6df8</Application>
  <Pages>12</Pages>
  <Words>6640</Words>
  <Characters>43983</Characters>
  <CharactersWithSpaces>49593</CharactersWithSpaces>
  <Paragraphs>741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2023-10-04T17:33:00Z</dcterms:created>
  <dc:creator>Dorota Okulewicz</dc:creator>
  <dc:description/>
  <dc:language>pl-PL</dc:language>
  <cp:lastModifiedBy>komputer</cp:lastModifiedBy>
  <dcterms:modified xsi:type="dcterms:W3CDTF">2023-10-04T17:44:00Z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